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24 juin 2026</w:t>
      </w:r>
    </w:p>
    <w:p/>
    <w:p>
      <w:r>
        <w:t>À la date du 24 juin 2026, la collecte cumule 1726 ménages collectés (dont 1574 valides) par 35 équipes (148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1574 / 4212 ménages valides (37.4 %)  ·  147 / 351 DR couverts (41.9 %).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34,1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1 574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61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1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1 799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1 688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1 545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7 492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374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6 808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14 300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7,9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692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3 396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4 061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3 229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3 525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6 625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7 586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56,3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78,6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4,9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60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43,8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2026-07-07 11:06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