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i w:val="0"/>
          <w:color w:val="1E293B"/>
          <w:sz w:val="28"/>
        </w:rPr>
        <w:t xml:space="preserve">RAPPORT REJETS — MÉNAGE </w:t>
      </w:r>
      <w:r>
        <w:rPr>
          <w:b/>
          <w:i w:val="0"/>
          <w:color w:val="1F6FEB"/>
          <w:sz w:val="28"/>
        </w:rPr>
        <w:t>32-23-85-46</w:t>
      </w:r>
    </w:p>
    <w:p>
      <w:r>
        <w:rPr>
          <w:b w:val="0"/>
          <w:i w:val="0"/>
          <w:color w:val="64748B"/>
          <w:sz w:val="18"/>
        </w:rPr>
        <w:t>Enquêteur : EQ1_sup_v2 (OULIMATA DIENE)  ·  Équipe : EQ1  ·  Snapshot : 2026-06-11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1"/>
        <w:gridCol w:w="3551"/>
        <w:gridCol w:w="3551"/>
      </w:tblGrid>
      <w:tr>
        <w:tc>
          <w:tcPr>
            <w:tcW w:type="dxa" w:w="3551"/>
            <w:shd w:fill="F8FAFC"/>
          </w:tcPr>
          <w:p>
            <w:r>
              <w:rPr>
                <w:b w:val="0"/>
                <w:i w:val="0"/>
                <w:color w:val="64748B"/>
                <w:sz w:val="14"/>
              </w:rPr>
              <w:t>DR (s00q06)</w:t>
              <w:br/>
            </w:r>
            <w:r>
              <w:rPr>
                <w:b/>
                <w:i w:val="0"/>
                <w:color w:val="16A34A"/>
                <w:sz w:val="18"/>
              </w:rPr>
              <w:t>11301140053</w:t>
            </w:r>
          </w:p>
        </w:tc>
        <w:tc>
          <w:tcPr>
            <w:tcW w:type="dxa" w:w="3551"/>
            <w:shd w:fill="F8FAFC"/>
          </w:tcPr>
          <w:p>
            <w:r>
              <w:rPr>
                <w:b w:val="0"/>
                <w:i w:val="0"/>
                <w:color w:val="64748B"/>
                <w:sz w:val="14"/>
              </w:rPr>
              <w:t>MÉNAGE</w:t>
              <w:br/>
            </w:r>
            <w:r>
              <w:rPr>
                <w:b/>
                <w:i w:val="0"/>
                <w:color w:val="1F6FEB"/>
                <w:sz w:val="18"/>
              </w:rPr>
              <w:t>32-23-85-46</w:t>
            </w:r>
          </w:p>
        </w:tc>
        <w:tc>
          <w:tcPr>
            <w:tcW w:type="dxa" w:w="3551"/>
            <w:shd w:fill="F8FAFC"/>
          </w:tcPr>
          <w:p>
            <w:r>
              <w:rPr>
                <w:b w:val="0"/>
                <w:i w:val="0"/>
                <w:color w:val="64748B"/>
                <w:sz w:val="14"/>
              </w:rPr>
              <w:t>CHEF DE MÉNAGE</w:t>
              <w:br/>
            </w:r>
            <w:r>
              <w:rPr>
                <w:b/>
                <w:i w:val="0"/>
                <w:sz w:val="18"/>
              </w:rPr>
              <w:t>ABDOULAYE BA</w:t>
            </w:r>
          </w:p>
        </w:tc>
      </w:tr>
      <w:tr>
        <w:tc>
          <w:tcPr>
            <w:tcW w:type="dxa" w:w="3551"/>
            <w:shd w:fill="F8FAFC"/>
          </w:tcPr>
          <w:p>
            <w:r>
              <w:rPr>
                <w:b w:val="0"/>
                <w:i w:val="0"/>
                <w:color w:val="64748B"/>
                <w:sz w:val="14"/>
              </w:rPr>
              <w:t>TÉLÉPHONE CM</w:t>
              <w:br/>
            </w:r>
            <w:r>
              <w:rPr>
                <w:b/>
                <w:i w:val="0"/>
                <w:sz w:val="18"/>
              </w:rPr>
              <w:t>77 352 86 16</w:t>
            </w:r>
          </w:p>
        </w:tc>
        <w:tc>
          <w:tcPr>
            <w:tcW w:type="dxa" w:w="3551"/>
            <w:shd w:fill="F8FAFC"/>
          </w:tcPr>
          <w:p>
            <w:r>
              <w:rPr>
                <w:b w:val="0"/>
                <w:i w:val="0"/>
                <w:color w:val="64748B"/>
                <w:sz w:val="14"/>
              </w:rPr>
              <w:t>LOCALISATION</w:t>
              <w:br/>
            </w:r>
            <w:r>
              <w:rPr>
                <w:b/>
                <w:i w:val="0"/>
                <w:sz w:val="18"/>
              </w:rPr>
              <w:t>4em chambre</w:t>
            </w:r>
          </w:p>
        </w:tc>
        <w:tc>
          <w:tcPr>
            <w:tcW w:type="dxa" w:w="3551"/>
            <w:shd w:fill="F8FAFC"/>
          </w:tcPr>
          <w:p>
            <w:r>
              <w:rPr>
                <w:b w:val="0"/>
                <w:i w:val="0"/>
                <w:color w:val="64748B"/>
                <w:sz w:val="14"/>
              </w:rPr>
              <w:t>GPS</w:t>
              <w:br/>
            </w:r>
            <w:r>
              <w:rPr>
                <w:b/>
                <w:i w:val="0"/>
                <w:sz w:val="18"/>
              </w:rPr>
              <w:t>—</w:t>
            </w:r>
          </w:p>
        </w:tc>
      </w:tr>
      <w:tr>
        <w:tc>
          <w:tcPr>
            <w:tcW w:type="dxa" w:w="3551"/>
            <w:shd w:fill="F8FAFC"/>
          </w:tcPr>
          <w:p>
            <w:r>
              <w:rPr>
                <w:b w:val="0"/>
                <w:i w:val="0"/>
                <w:color w:val="64748B"/>
                <w:sz w:val="14"/>
              </w:rPr>
              <w:t>ENQUÊTEUR</w:t>
              <w:br/>
            </w:r>
            <w:r>
              <w:rPr>
                <w:b/>
                <w:i w:val="0"/>
                <w:sz w:val="18"/>
              </w:rPr>
              <w:t>EQ1_sup_v2  (OULIMATA DIENE)</w:t>
            </w:r>
          </w:p>
        </w:tc>
        <w:tc>
          <w:tcPr>
            <w:tcW w:type="dxa" w:w="3551"/>
            <w:shd w:fill="F8FAFC"/>
          </w:tcPr>
          <w:p>
            <w:r>
              <w:rPr>
                <w:b w:val="0"/>
                <w:i w:val="0"/>
                <w:color w:val="64748B"/>
                <w:sz w:val="14"/>
              </w:rPr>
              <w:t>SUPERVISEUR</w:t>
              <w:br/>
            </w:r>
            <w:r>
              <w:rPr>
                <w:b/>
                <w:i w:val="0"/>
                <w:sz w:val="18"/>
              </w:rPr>
              <w:t>OULIMATA DIENE</w:t>
            </w:r>
          </w:p>
        </w:tc>
        <w:tc>
          <w:tcPr>
            <w:tcW w:type="dxa" w:w="3551"/>
            <w:shd w:fill="F8FAFC"/>
          </w:tcPr>
          <w:p>
            <w:r>
              <w:rPr>
                <w:b w:val="0"/>
                <w:i w:val="0"/>
                <w:color w:val="64748B"/>
                <w:sz w:val="14"/>
              </w:rPr>
              <w:t>STATUT</w:t>
              <w:br/>
            </w:r>
            <w:r>
              <w:rPr>
                <w:b/>
                <w:i w:val="0"/>
                <w:sz w:val="18"/>
              </w:rPr>
              <w:t>1  ·  1ʳᵉ visite : 2026-06-11T12:58:32</w:t>
            </w:r>
          </w:p>
        </w:tc>
      </w:tr>
    </w:tbl>
    <w:p/>
    <w:p>
      <w:r>
        <w:rPr>
          <w:b/>
          <w:i w:val="0"/>
          <w:color w:val="1F6FEB"/>
          <w:sz w:val="22"/>
        </w:rPr>
        <w:t>⚠ INCOHÉRENCES À CORRIGER (20)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30"/>
        <w:gridCol w:w="2130"/>
        <w:gridCol w:w="2130"/>
        <w:gridCol w:w="2130"/>
        <w:gridCol w:w="2130"/>
      </w:tblGrid>
      <w:tr>
        <w:tc>
          <w:tcPr>
            <w:tcW w:type="dxa" w:w="964"/>
            <w:shd w:fill="1F6FEB"/>
          </w:tcPr>
          <w:p>
            <w:r>
              <w:rPr>
                <w:b/>
                <w:i w:val="0"/>
                <w:color w:val="FFFFFF"/>
                <w:sz w:val="16"/>
              </w:rPr>
              <w:t>Sévérité</w:t>
            </w:r>
          </w:p>
        </w:tc>
        <w:tc>
          <w:tcPr>
            <w:tcW w:type="dxa" w:w="1247"/>
            <w:shd w:fill="1F6FEB"/>
          </w:tcPr>
          <w:p>
            <w:r>
              <w:rPr>
                <w:b/>
                <w:i w:val="0"/>
                <w:color w:val="FFFFFF"/>
                <w:sz w:val="16"/>
              </w:rPr>
              <w:t>Section</w:t>
            </w:r>
          </w:p>
        </w:tc>
        <w:tc>
          <w:tcPr>
            <w:tcW w:type="dxa" w:w="1531"/>
            <w:shd w:fill="1F6FEB"/>
          </w:tcPr>
          <w:p>
            <w:r>
              <w:rPr>
                <w:b/>
                <w:i w:val="0"/>
                <w:color w:val="FFFFFF"/>
                <w:sz w:val="16"/>
              </w:rPr>
              <w:t>Variable(s)</w:t>
            </w:r>
          </w:p>
        </w:tc>
        <w:tc>
          <w:tcPr>
            <w:tcW w:type="dxa" w:w="1191"/>
            <w:shd w:fill="1F6FEB"/>
          </w:tcPr>
          <w:p>
            <w:r>
              <w:rPr>
                <w:b/>
                <w:i w:val="0"/>
                <w:color w:val="FFFFFF"/>
                <w:sz w:val="16"/>
              </w:rPr>
              <w:t>Source</w:t>
            </w:r>
          </w:p>
        </w:tc>
        <w:tc>
          <w:tcPr>
            <w:tcW w:type="dxa" w:w="4706"/>
            <w:shd w:fill="1F6FEB"/>
          </w:tcPr>
          <w:p>
            <w:r>
              <w:rPr>
                <w:b/>
                <w:i w:val="0"/>
                <w:color w:val="FFFFFF"/>
                <w:sz w:val="16"/>
              </w:rPr>
              <w:t>Message / action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DC2626"/>
                <w:sz w:val="16"/>
              </w:rPr>
              <w:t>Haute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S01</w:t>
              <w:br/>
            </w:r>
            <w:r>
              <w:rPr>
                <w:b w:val="0"/>
                <w:i w:val="0"/>
                <w:color w:val="64748B"/>
                <w:sz w:val="14"/>
              </w:rPr>
              <w:t>Démographie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s01q02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Inter-sections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[ssaw_aucun_chef_menage] ERREUR : Aucun membre n'est désigné comme chef de ménage. Identifier le membre qui est chef et le marquer dans s01q02.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DC2626"/>
                <w:sz w:val="16"/>
              </w:rPr>
              <w:t>Haute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S11</w:t>
              <w:br/>
            </w:r>
            <w:r>
              <w:rPr>
                <w:b w:val="0"/>
                <w:i w:val="0"/>
                <w:color w:val="64748B"/>
                <w:sz w:val="14"/>
              </w:rPr>
              <w:t>Logement / cadre de vie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s01q47__7, s02q24, s04q49, s04q59e, s04q67, s06q19, s06q20, s06q22a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La principale source d'énergie ( Non concerné) pour la cusine semble incoherent, prière de corriger ou confirmer.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DC2626"/>
                <w:sz w:val="16"/>
              </w:rPr>
              <w:t>Haute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S20</w:t>
              <w:br/>
            </w:r>
            <w:r>
              <w:rPr>
                <w:b w:val="0"/>
                <w:i w:val="0"/>
                <w:color w:val="64748B"/>
                <w:sz w:val="14"/>
              </w:rPr>
              <w:t>Gouvernance / autres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Incohérence détectée ! Le ménage a précédemment déclaré vivre « Bien » ou « Assez bien » selon son revenu en 20A.02.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S00</w:t>
              <w:br/>
            </w:r>
            <w:r>
              <w:rPr>
                <w:b w:val="0"/>
                <w:i w:val="0"/>
                <w:color w:val="64748B"/>
                <w:sz w:val="14"/>
              </w:rPr>
              <w:t>Identification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L'adresse ou la localisation du ménage doit être bien renseignée, ne doit pas contenir des numéros de téléphone et elle semble courte pour être une adresse.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S00</w:t>
              <w:br/>
            </w:r>
            <w:r>
              <w:rPr>
                <w:b w:val="0"/>
                <w:i w:val="0"/>
                <w:color w:val="64748B"/>
                <w:sz w:val="14"/>
              </w:rPr>
              <w:t>Identification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s00q12a, s00q12b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Prière de renseigner la bonne adresse.Attention! Veillez bien renseigner le deuxième numero du chef de ménage(0.12b).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S03</w:t>
              <w:br/>
            </w:r>
            <w:r>
              <w:rPr>
                <w:b w:val="0"/>
                <w:i w:val="0"/>
                <w:color w:val="64748B"/>
                <w:sz w:val="14"/>
              </w:rPr>
              <w:t>Santé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Veuillez revoir la section santé de ce ménage.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S07</w:t>
              <w:br/>
            </w:r>
            <w:r>
              <w:rPr>
                <w:b w:val="0"/>
                <w:i w:val="0"/>
                <w:color w:val="64748B"/>
                <w:sz w:val="14"/>
              </w:rPr>
              <w:t>Consommation alimentaire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Attention ! La dépense du répas pris à l'extérieur de Abdoulaye Ba (11875 Fcfa) au cours de 7 derniers jours est relativement élevé.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S07</w:t>
              <w:br/>
            </w:r>
            <w:r>
              <w:rPr>
                <w:b w:val="0"/>
                <w:i w:val="0"/>
                <w:color w:val="64748B"/>
                <w:sz w:val="14"/>
              </w:rPr>
              <w:t>Consommation alimentaire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Prière de corriger ou de confirmer avec le QG.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S09</w:t>
              <w:br/>
            </w:r>
            <w:r>
              <w:rPr>
                <w:b w:val="0"/>
                <w:i w:val="0"/>
                <w:color w:val="64748B"/>
                <w:sz w:val="14"/>
              </w:rPr>
              <w:t>Dépenses non alimentaires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La dépense en alimentation pour Fin du Ramadan 2026  ne peut être 0.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S09</w:t>
              <w:br/>
            </w:r>
            <w:r>
              <w:rPr>
                <w:b w:val="0"/>
                <w:i w:val="0"/>
                <w:color w:val="64748B"/>
                <w:sz w:val="14"/>
              </w:rPr>
              <w:t>Dépenses non alimentaires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Veuillez s'il vous plaît revoir ce montant.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S09</w:t>
              <w:br/>
            </w:r>
            <w:r>
              <w:rPr>
                <w:b w:val="0"/>
                <w:i w:val="0"/>
                <w:color w:val="64748B"/>
                <w:sz w:val="14"/>
              </w:rPr>
              <w:t>Dépenses non alimentaires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La dépense en alimentation pour Tabaski 2025/2026  ne peut être 0.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S11</w:t>
              <w:br/>
            </w:r>
            <w:r>
              <w:rPr>
                <w:b w:val="0"/>
                <w:i w:val="0"/>
                <w:color w:val="64748B"/>
                <w:sz w:val="14"/>
              </w:rPr>
              <w:t>Logement / cadre de vie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Attention!!! Les ménages vivants dans un(e) Maison Basse à DAKAR Urbain ont généralement comme principal matériau de construction le/la Ciment/Béton/Pierres de taille, mais celui du ménage de ABDOULAYE BA (Briques cuites) diffère de celui-ci.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S11</w:t>
              <w:br/>
            </w:r>
            <w:r>
              <w:rPr>
                <w:b w:val="0"/>
                <w:i w:val="0"/>
                <w:color w:val="64748B"/>
                <w:sz w:val="14"/>
              </w:rPr>
              <w:t>Logement / cadre de vie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Prière de vérifier pour être sûr que vous avez choisi les bonnes modalités des questions 11.01 et 11.18 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S11</w:t>
              <w:br/>
            </w:r>
            <w:r>
              <w:rPr>
                <w:b w:val="0"/>
                <w:i w:val="0"/>
                <w:color w:val="64748B"/>
                <w:sz w:val="14"/>
              </w:rPr>
              <w:t>Logement / cadre de vie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Merci de ne pas corriger si vous êtes sûr de celui donné par le ménage et observé par vous.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S11</w:t>
              <w:br/>
            </w:r>
            <w:r>
              <w:rPr>
                <w:b w:val="0"/>
                <w:i w:val="0"/>
                <w:color w:val="64748B"/>
                <w:sz w:val="14"/>
              </w:rPr>
              <w:t>Logement / cadre de vie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Attention!!! Les ménages vivants dans un(e) Maison Basse à DAKAR Urbain ont généralement comme principal matériau de revêtement du sol du logement le/la Carreaux/Marbre, mais celui du ménage de ABDOULAYE BA (Ciment/Béton) diffère de celui-ci.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S11</w:t>
              <w:br/>
            </w:r>
            <w:r>
              <w:rPr>
                <w:b w:val="0"/>
                <w:i w:val="0"/>
                <w:color w:val="64748B"/>
                <w:sz w:val="14"/>
              </w:rPr>
              <w:t>Logement / cadre de vie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Prière de vérifier pour être sûr que vous avez choisi les bonnes modalités des questions 11.01 et 11.19.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S20</w:t>
              <w:br/>
            </w:r>
            <w:r>
              <w:rPr>
                <w:b w:val="0"/>
                <w:i w:val="0"/>
                <w:color w:val="64748B"/>
                <w:sz w:val="14"/>
              </w:rPr>
              <w:t>Gouvernance / autres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Il est donc peu probable qu'il se déclare maintenant comme « Pauvre » ou « Très pauvre ».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S20</w:t>
              <w:br/>
            </w:r>
            <w:r>
              <w:rPr>
                <w:b w:val="0"/>
                <w:i w:val="0"/>
                <w:color w:val="64748B"/>
                <w:sz w:val="14"/>
              </w:rPr>
              <w:t>Gouvernance / autres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Veuillez confirmer ces informations avec le QG ou apporter les corrections nécessaires.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CA8A04"/>
                <w:sz w:val="16"/>
              </w:rPr>
              <w:t>Faible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S02</w:t>
              <w:br/>
            </w:r>
            <w:r>
              <w:rPr>
                <w:b w:val="0"/>
                <w:i w:val="0"/>
                <w:color w:val="64748B"/>
                <w:sz w:val="14"/>
              </w:rPr>
              <w:t>Éducation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s01q29, s01q31, s04q24, s00q04, s00q10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Avertissement!!! Le ménage de ABDOULAYE BA vit en milieu urbain et aucun membre dans son ménage n'a fait ou fait-elle des études actuellement dans une école formelle, prière de reprendre la section éducation de ce ménage en se rassurant auprès de l'enquêté.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CA8A04"/>
                <w:sz w:val="16"/>
              </w:rPr>
              <w:t>Faible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S03</w:t>
              <w:br/>
            </w:r>
            <w:r>
              <w:rPr>
                <w:b w:val="0"/>
                <w:i w:val="0"/>
                <w:color w:val="64748B"/>
                <w:sz w:val="14"/>
              </w:rPr>
              <w:t>Santé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Avertissement!!! Selon vos informations, aucun membre de ce ménage n'a eu de problème de santé au cours des 12 derniers mois.</w:t>
            </w:r>
          </w:p>
        </w:tc>
      </w:tr>
    </w:tbl>
    <w:p/>
    <w:p>
      <w:r>
        <w:rPr>
          <w:b/>
          <w:i w:val="0"/>
          <w:color w:val="1F6FEB"/>
          <w:sz w:val="22"/>
        </w:rPr>
        <w:t>💬 COMMENTAIRES SUPERVISEUR / ENQUÊTEUR (1)</w:t>
      </w:r>
    </w:p>
    <w:p>
      <w:pPr>
        <w:pStyle w:val="ListBullet"/>
      </w:pPr>
      <w:r>
        <w:rPr>
          <w:b w:val="0"/>
          <w:i w:val="0"/>
          <w:color w:val="64748B"/>
          <w:sz w:val="16"/>
        </w:rPr>
        <w:t xml:space="preserve">[2026-06-11 13:16:43] </w:t>
      </w:r>
      <w:r>
        <w:rPr>
          <w:b/>
          <w:i w:val="0"/>
          <w:color w:val="1F6FEB"/>
          <w:sz w:val="16"/>
        </w:rPr>
        <w:t xml:space="preserve">EQ1_enq3_v2 </w:t>
      </w:r>
      <w:r>
        <w:rPr>
          <w:b w:val="0"/>
          <w:i w:val="0"/>
          <w:color w:val="64748B"/>
          <w:sz w:val="16"/>
        </w:rPr>
        <w:t xml:space="preserve">sur s01q08 : </w:t>
      </w:r>
      <w:r>
        <w:rPr>
          <w:b w:val="0"/>
          <w:i w:val="0"/>
          <w:sz w:val="17"/>
        </w:rPr>
        <w:t>"ces deux femmes vivent en Guinée "</w:t>
      </w:r>
    </w:p>
    <w:sectPr w:rsidR="00FC693F" w:rsidRPr="0006063C" w:rsidSect="00034616">
      <w:pgSz w:w="12240" w:h="15840"/>
      <w:pgMar w:top="680" w:right="794" w:bottom="680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