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EQ12_sup_v2 (OUSSEYNOU BOYE)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peul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peul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awa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awa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penda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penda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penda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son père est  Patron/Employeur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Tacko diop a declaré que la catégorie socioprofessionnelle de sa mère est  Patron/Employeur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diop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Adama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awa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Awa peul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peul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awa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Ndeye penda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penda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Tacko diop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Adama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awa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peul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awa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Ndeye penda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(5 heures) que Tacko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niang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awa diop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penda diop (3750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Tacko diop (4250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DIOP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DIOP, prière de reprendre la section agriculture du ménage IBRAHIMA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Filet maillant a été revendu à 8000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peul diop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awa diop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Tacko diop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