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FARBA FALL a declaré que la catégorie socioprofessionnelle de sa mère est Travailleur pour compte propre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FALL1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ELKHADJI TINE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FARBA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NDIOGOU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DIARRA NGING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BARA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DIOUMA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MBENE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NDIOGOU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NGONE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SERIGNE MBACKE FALL.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FALLOU SARR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FALLOU SARR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FARBA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FALL1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ELKHADJI TINE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FARBA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FALLOU FALL qui fréquente 2ème année de Maternelle  est de 0 FCFA, FALLOU FALL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DIARRA NGING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montant(35000 FCFA) des dépenses pour chaque visite prénatale de MBENE GUEYE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DABA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ELKHADJI TINE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FARBA FALL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FARBA FALL (10000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FARBA FALL (187500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(24000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300000 Fcfa avec le type de logement Maison Basse est relativement élevé par rapport aux autres montants observés à DIOURBEL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214500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20000 FCFA qui semble élevé, prière de verifier le montant tiré de la vente (40000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7500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FALLOU FALL MBENE fréquente 3ème année de Primaire mais ne sait pas écrire, prière de vérifier auprès de FALLOU FALL MBENE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NGONE FALL fréquente 3ème année de Primaire mais ne sait pas écrire, prière de vérifier auprès de NGONE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DIOUF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POUYE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MAME DIARRA NGING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MBENE GUEYE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DABA DIAGNE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(15000)  avec l'âge du bien atteignant 7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