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43-80-96-26</w:t>
      </w:r>
    </w:p>
    <w:p>
      <w:r>
        <w:rPr>
          <w:b w:val="0"/>
          <w:i w:val="0"/>
          <w:color w:val="64748B"/>
          <w:sz w:val="18"/>
        </w:rPr>
        <w:t>Enquêteur : EQ12_sup_v2  ·  Équipe : EQ12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043101000173</w:t>
            </w:r>
          </w:p>
        </w:tc>
        <w:tc>
          <w:tcPr>
            <w:tcW w:type="dxa" w:w="3551"/>
            <w:shd w:fill="F8FAFC"/>
          </w:tcPr>
          <w:p>
            <w:r>
              <w:rPr>
                <w:b w:val="0"/>
                <w:i w:val="0"/>
                <w:color w:val="64748B"/>
                <w:sz w:val="14"/>
              </w:rPr>
              <w:t>MÉNAGE</w:t>
              <w:br/>
            </w:r>
            <w:r>
              <w:rPr>
                <w:b/>
                <w:i w:val="0"/>
                <w:color w:val="1F6FEB"/>
                <w:sz w:val="18"/>
              </w:rPr>
              <w:t>43-80-96-26</w:t>
            </w:r>
          </w:p>
        </w:tc>
        <w:tc>
          <w:tcPr>
            <w:tcW w:type="dxa" w:w="3551"/>
            <w:shd w:fill="F8FAFC"/>
          </w:tcPr>
          <w:p>
            <w:r>
              <w:rPr>
                <w:b w:val="0"/>
                <w:i w:val="0"/>
                <w:color w:val="64748B"/>
                <w:sz w:val="14"/>
              </w:rPr>
              <w:t>CHEF DE MÉNAGE</w:t>
              <w:br/>
            </w:r>
            <w:r>
              <w:rPr>
                <w:b/>
                <w:i w:val="0"/>
                <w:sz w:val="18"/>
              </w:rPr>
              <w:t>IBRAHIMA DIOP</w:t>
            </w:r>
          </w:p>
        </w:tc>
      </w:tr>
      <w:tr>
        <w:tc>
          <w:tcPr>
            <w:tcW w:type="dxa" w:w="3551"/>
            <w:shd w:fill="F8FAFC"/>
          </w:tcPr>
          <w:p>
            <w:r>
              <w:rPr>
                <w:b w:val="0"/>
                <w:i w:val="0"/>
                <w:color w:val="64748B"/>
                <w:sz w:val="14"/>
              </w:rPr>
              <w:t>TÉLÉPHONE CM</w:t>
              <w:br/>
            </w:r>
            <w:r>
              <w:rPr>
                <w:b/>
                <w:i w:val="0"/>
                <w:sz w:val="18"/>
              </w:rPr>
              <w:t>70 622 13 09</w:t>
            </w:r>
          </w:p>
        </w:tc>
        <w:tc>
          <w:tcPr>
            <w:tcW w:type="dxa" w:w="3551"/>
            <w:shd w:fill="F8FAFC"/>
          </w:tcPr>
          <w:p>
            <w:r>
              <w:rPr>
                <w:b w:val="0"/>
                <w:i w:val="0"/>
                <w:color w:val="64748B"/>
                <w:sz w:val="14"/>
              </w:rPr>
              <w:t>LOCALISATION</w:t>
              <w:br/>
            </w:r>
            <w:r>
              <w:rPr>
                <w:b/>
                <w:i w:val="0"/>
                <w:sz w:val="18"/>
              </w:rPr>
              <w:t>bait du fond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EQ12_sup_v2  (121)</w:t>
            </w:r>
          </w:p>
        </w:tc>
        <w:tc>
          <w:tcPr>
            <w:tcW w:type="dxa" w:w="3551"/>
            <w:shd w:fill="F8FAFC"/>
          </w:tcPr>
          <w:p>
            <w:r>
              <w:rPr>
                <w:b w:val="0"/>
                <w:i w:val="0"/>
                <w:color w:val="64748B"/>
                <w:sz w:val="14"/>
              </w:rPr>
              <w:t>SUPERVISEUR</w:t>
              <w:br/>
            </w:r>
            <w:r>
              <w:rPr>
                <w:b/>
                <w:i w:val="0"/>
                <w:sz w:val="18"/>
              </w:rPr>
              <w:t>12</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(67)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IBRAHIMA DIOP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Awa peul diop a declaré que la catégorie socioprofessionnelle de son père est  Patron/Employeur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Awa peul diop a declaré que la catégorie socioprofessionnelle de sa mère est  Patron/Employeur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peul diop a declaré que le secteur institutionnel de sa mère est Entreprise publique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Ndeye awa diop a declaré que la catégorie socioprofessionnelle de son père est  Patron/Employeur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Ndeye awa diop a declaré que la catégorie socioprofessionnelle de sa mère est  Patron/Employeur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awa diop a declaré que le secteur institutionnel de sa mère est Entreprise publique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Ndeye penda diop a declaré que la catégorie socioprofessionnelle de son père est  Patron/Employeur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Ndeye penda diop a declaré que la catégorie socioprofessionnelle de sa mère est  Patron/Employeur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penda diop a declaré que le secteur institutionnel de sa mère est Entreprise publique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Tacko diop a declaré que la catégorie socioprofessionnelle de son père est  Patron/Employeur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Tacko diop a declaré que le secteur institutionnel de son père est Entreprise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Tacko diop a declaré que la catégorie socioprofessionnelle de sa mère est  Patron/Employeur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Tacko diop a declaré que le secteur institutionnel de sa mère est Entreprise publique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Adama niang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Ndeye awa diop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Awa peul diop diffère de celui donné par Awa peul diop lui-même qui affirme ne pas avoir frequenté l'école formelle.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s00q28, s01q28, s01q29, s01q30, s01q00b</w:t>
            </w:r>
          </w:p>
        </w:tc>
        <w:tc>
          <w:tcPr>
            <w:tcW w:type="dxa" w:w="1191"/>
          </w:tcPr>
          <w:p>
            <w:r>
              <w:rPr>
                <w:b w:val="0"/>
                <w:i w:val="0"/>
                <w:color w:val="64748B"/>
                <w:sz w:val="16"/>
              </w:rPr>
              <w:t>GT-CQ</w:t>
            </w:r>
          </w:p>
        </w:tc>
        <w:tc>
          <w:tcPr>
            <w:tcW w:type="dxa" w:w="4706"/>
          </w:tcPr>
          <w:p>
            <w:r>
              <w:rPr>
                <w:b w:val="0"/>
                <w:i w:val="0"/>
                <w:sz w:val="17"/>
              </w:rPr>
              <w:t>Les catégories socioprofessionnelles du père biologique de  Awa peul diop  ne sont pas coherentes, prière de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peul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s00q28, s01q28, s01q29, s01q30, s01q00b</w:t>
            </w:r>
          </w:p>
        </w:tc>
        <w:tc>
          <w:tcPr>
            <w:tcW w:type="dxa" w:w="1191"/>
          </w:tcPr>
          <w:p>
            <w:r>
              <w:rPr>
                <w:b w:val="0"/>
                <w:i w:val="0"/>
                <w:color w:val="64748B"/>
                <w:sz w:val="16"/>
              </w:rPr>
              <w:t>GT-CQ</w:t>
            </w:r>
          </w:p>
        </w:tc>
        <w:tc>
          <w:tcPr>
            <w:tcW w:type="dxa" w:w="4706"/>
          </w:tcPr>
          <w:p>
            <w:r>
              <w:rPr>
                <w:b w:val="0"/>
                <w:i w:val="0"/>
                <w:sz w:val="17"/>
              </w:rPr>
              <w:t>Les catégories socioprofessionnelles du père biologique de  Ndeye awa diop  ne sont pas coherentes, prière de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awa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s00q28, s01q28, s01q29, s01q30, s01q00b</w:t>
            </w:r>
          </w:p>
        </w:tc>
        <w:tc>
          <w:tcPr>
            <w:tcW w:type="dxa" w:w="1191"/>
          </w:tcPr>
          <w:p>
            <w:r>
              <w:rPr>
                <w:b w:val="0"/>
                <w:i w:val="0"/>
                <w:color w:val="64748B"/>
                <w:sz w:val="16"/>
              </w:rPr>
              <w:t>GT-CQ</w:t>
            </w:r>
          </w:p>
        </w:tc>
        <w:tc>
          <w:tcPr>
            <w:tcW w:type="dxa" w:w="4706"/>
          </w:tcPr>
          <w:p>
            <w:r>
              <w:rPr>
                <w:b w:val="0"/>
                <w:i w:val="0"/>
                <w:sz w:val="17"/>
              </w:rPr>
              <w:t>Les catégories socioprofessionnelles du père biologique de  Ndeye penda diop  ne sont pas coherentes, prière de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penda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s00q28, s01q28, s01q29, s01q30, s01q00b</w:t>
            </w:r>
          </w:p>
        </w:tc>
        <w:tc>
          <w:tcPr>
            <w:tcW w:type="dxa" w:w="1191"/>
          </w:tcPr>
          <w:p>
            <w:r>
              <w:rPr>
                <w:b w:val="0"/>
                <w:i w:val="0"/>
                <w:color w:val="64748B"/>
                <w:sz w:val="16"/>
              </w:rPr>
              <w:t>GT-CQ</w:t>
            </w:r>
          </w:p>
        </w:tc>
        <w:tc>
          <w:tcPr>
            <w:tcW w:type="dxa" w:w="4706"/>
          </w:tcPr>
          <w:p>
            <w:r>
              <w:rPr>
                <w:b w:val="0"/>
                <w:i w:val="0"/>
                <w:sz w:val="17"/>
              </w:rPr>
              <w:t>Les catégories socioprofessionnelles du père biologique de  Tacko diop  ne sont pas coherentes, prière de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Tacko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(7) de ce ménage est inférieur à la taille du denombrement (8),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Adama niang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Ndeye awa diop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Awa peul diop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(5 heures) que Ndeye awa diop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(5 heures) que Ndeye penda diop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(5 heures) que Tacko diop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Adama niang (4500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Ndeye awa diop (3100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Ndeye penda diop (3750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Tacko diop (4250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(1000 Fcfa) de Huile de soja en Litre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DIOP (250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SAINT-LOUIS Urbain ont généralement comme principal matériau du toit le/la Dalle en ciment, mais celui du ménage de IBRAHIMA DIOP (Tôles)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SAINT-LOUIS Urbain ont généralement comme principal matériau de revêtement du sol du logement le/la Ciment/Béton, mais celui du ménage de IBRAHIMA DIOP (Carreaux/Marbre) diffère de celui-ci.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IBRAHIMA DIOP, prière de reprendre la section agriculture du ménage IBRAHIMA DIOP.</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Filet maillant a été revendu à 8000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IBRAHIMA DIOP a 63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Awa peul diop a 23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Ndeye awa diop a 21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Tacko diop a 19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Tacko diop a 19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Ndeye awa diop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12 Pièce Petit de Autre Poisson frais ( thiarumbekh [mollette],etc),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Pièce Tres petit de Poisson frais diaaye,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IBRAHIMA DIOP a comme taille 7 personnes dont ils vivent à SAINT-LOUIS Urbain et aucune d'entre ne possède une entreprise non agricole, prière de revoir cette partie de la section 10 de ce menage.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