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EQ20_sup_v2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ADJIA DIEYNABA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IBRAHIMA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IBRAHIMA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IBRAHIMA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IDY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CHERIF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AMADOU WANE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AMADOU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AMIDOU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AMIDOU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AMIDOU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MOUSTAPHA AMADOU WANE a vécu dans la localité est superieur à son âge (56)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53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ADJIA DIEYNABA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IBRAHIMA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IDY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CHERIF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AMADOU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AMIDOU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( 12000 FCFA) de FATOUMATA NDIAYE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(2000 Fcfa) de MAÏMOUNA OUMAR SAO en 3ème année de Secondaire 1 (Moyen) Général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MOUSTAPHA AMADOU WANE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MARIAMA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montant(65000 FCFA) des dépenses pour chaque visite prénatale de MARIAMA BA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ELHADJI IBRAHIMA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MARIAMA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MARIAMA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WANE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Lait caillé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MOUSTAPHA AMADOU WANE (75000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(7500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voiture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MOUSTAPHA AMADOU WANE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MOUSTAPHA AMADOU WANE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MOUSTAPHA AMADOU WANE, prière de reprendre la section agriculture du ménage MOUSTAPHA AMADOU WANE.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ELHADJI IBRAHIMA WANE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OUMOU HAKIMI WANE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ALIOU WANE NDIAYE fréquente 2ème année de Primaire mais ne sait pas écrire, prière de vérifier auprès de ALIOU WANE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AÏSSATOU IDY WANE fréquente 2ème année de Primaire mais ne sait pas écrire, prière de vérifier auprès de AÏSSATOU IDY WANE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MARIAMA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s01q03c, s01q04a, s02q15, s02q29, s03q28, s03q29, s06cq02d, s01q00b</w:t>
            </w:r>
          </w:p>
        </w:tc>
        <w:tc>
          <w:tcPr>
            <w:tcW w:type="dxa" w:w="1191"/>
          </w:tcPr>
          <w:p>
            <w:r>
              <w:rPr>
                <w:b w:val="0"/>
                <w:i w:val="0"/>
                <w:color w:val="64748B"/>
                <w:sz w:val="16"/>
              </w:rPr>
              <w:t>GT-CQ</w:t>
            </w:r>
          </w:p>
        </w:tc>
        <w:tc>
          <w:tcPr>
            <w:tcW w:type="dxa" w:w="4706"/>
          </w:tcPr>
          <w:p>
            <w:r>
              <w:rPr>
                <w:b w:val="0"/>
                <w:i w:val="0"/>
                <w:sz w:val="17"/>
              </w:rPr>
              <w:t>Avertissement!!! Le nombre de compte ou de cartes prépayées (4) que MOUHAMED WANE  possède dans une mobile Banking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