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w:t>
            </w:r>
          </w:p>
        </w:tc>
        <w:tc>
          <w:tcPr>
            <w:tcW w:type="dxa" w:w="1191"/>
          </w:tcPr>
          <w:p>
            <w:r>
              <w:rPr>
                <w:b w:val="0"/>
                <w:i w:val="0"/>
                <w:color w:val="64748B"/>
                <w:sz w:val="16"/>
              </w:rPr>
              <w:t>Natif SuSo</w:t>
            </w:r>
          </w:p>
        </w:tc>
        <w:tc>
          <w:tcPr>
            <w:tcW w:type="dxa" w:w="4706"/>
          </w:tcPr>
          <w:p>
            <w:r>
              <w:rPr>
                <w:b w:val="0"/>
                <w:i w:val="0"/>
                <w:sz w:val="17"/>
              </w:rPr>
              <w:t>Incohérence. %rostertitle% est enfant d'un homme qui est CM de ce ménage. Veuillez vérifier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Mbaye Diop2 a eu comme problème y’a trop de bruit, ils passent beaucoup de sur leur telephone,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(850000 Fcfa) de Moussa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Modou Diop a eu est maux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Diop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(17650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(30050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(96500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(3400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(3700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le boy lui vient d’autre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(102000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(11200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1200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1 est de 1000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(6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cissé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cissé a 29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Seynabou Seck fréquente 2ème année de Primaire mais ne sait pas écrire, prière de vérifier auprès de Seynabou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