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25-40-22-09</w:t>
      </w:r>
    </w:p>
    <w:p>
      <w:r>
        <w:rPr>
          <w:b w:val="0"/>
          <w:i w:val="0"/>
          <w:color w:val="64748B"/>
          <w:sz w:val="18"/>
        </w:rPr>
        <w:t>Enquêteur : EQ34_sup_v2  ·  Équipe : EQ34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21102000005</w:t>
            </w:r>
          </w:p>
        </w:tc>
        <w:tc>
          <w:tcPr>
            <w:tcW w:type="dxa" w:w="3551"/>
            <w:shd w:fill="F8FAFC"/>
          </w:tcPr>
          <w:p>
            <w:r>
              <w:rPr>
                <w:b w:val="0"/>
                <w:i w:val="0"/>
                <w:color w:val="64748B"/>
                <w:sz w:val="14"/>
              </w:rPr>
              <w:t>MÉNAGE</w:t>
              <w:br/>
            </w:r>
            <w:r>
              <w:rPr>
                <w:b/>
                <w:i w:val="0"/>
                <w:color w:val="1F6FEB"/>
                <w:sz w:val="18"/>
              </w:rPr>
              <w:t>25-40-22-09</w:t>
            </w:r>
          </w:p>
        </w:tc>
        <w:tc>
          <w:tcPr>
            <w:tcW w:type="dxa" w:w="3551"/>
            <w:shd w:fill="F8FAFC"/>
          </w:tcPr>
          <w:p>
            <w:r>
              <w:rPr>
                <w:b w:val="0"/>
                <w:i w:val="0"/>
                <w:color w:val="64748B"/>
                <w:sz w:val="14"/>
              </w:rPr>
              <w:t>CHEF DE MÉNAGE</w:t>
              <w:br/>
            </w:r>
            <w:r>
              <w:rPr>
                <w:b/>
                <w:i w:val="0"/>
                <w:sz w:val="18"/>
              </w:rPr>
              <w:t>VICTOR TENDENG</w:t>
            </w:r>
          </w:p>
        </w:tc>
      </w:tr>
      <w:tr>
        <w:tc>
          <w:tcPr>
            <w:tcW w:type="dxa" w:w="3551"/>
            <w:shd w:fill="F8FAFC"/>
          </w:tcPr>
          <w:p>
            <w:r>
              <w:rPr>
                <w:b w:val="0"/>
                <w:i w:val="0"/>
                <w:color w:val="64748B"/>
                <w:sz w:val="14"/>
              </w:rPr>
              <w:t>TÉLÉPHONE CM</w:t>
              <w:br/>
            </w:r>
            <w:r>
              <w:rPr>
                <w:b/>
                <w:i w:val="0"/>
                <w:sz w:val="18"/>
              </w:rPr>
              <w:t>77 557 19 99</w:t>
            </w:r>
          </w:p>
        </w:tc>
        <w:tc>
          <w:tcPr>
            <w:tcW w:type="dxa" w:w="3551"/>
            <w:shd w:fill="F8FAFC"/>
          </w:tcPr>
          <w:p>
            <w:r>
              <w:rPr>
                <w:b w:val="0"/>
                <w:i w:val="0"/>
                <w:color w:val="64748B"/>
                <w:sz w:val="14"/>
              </w:rPr>
              <w:t>LOCALISATION</w:t>
              <w:br/>
            </w:r>
            <w:r>
              <w:rPr>
                <w:b/>
                <w:i w:val="0"/>
                <w:sz w:val="18"/>
              </w:rPr>
              <w:t>BATINE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EQ34_sup_v2  (343)</w:t>
            </w:r>
          </w:p>
        </w:tc>
        <w:tc>
          <w:tcPr>
            <w:tcW w:type="dxa" w:w="3551"/>
            <w:shd w:fill="F8FAFC"/>
          </w:tcPr>
          <w:p>
            <w:r>
              <w:rPr>
                <w:b w:val="0"/>
                <w:i w:val="0"/>
                <w:color w:val="64748B"/>
                <w:sz w:val="14"/>
              </w:rPr>
              <w:t>SUPERVISEUR</w:t>
              <w:br/>
            </w:r>
            <w:r>
              <w:rPr>
                <w:b/>
                <w:i w:val="0"/>
                <w:sz w:val="18"/>
              </w:rPr>
              <w:t>34</w:t>
            </w:r>
          </w:p>
        </w:tc>
        <w:tc>
          <w:tcPr>
            <w:tcW w:type="dxa" w:w="3551"/>
            <w:shd w:fill="F8FAFC"/>
          </w:tcPr>
          <w:p>
            <w:r>
              <w:rPr>
                <w:b w:val="0"/>
                <w:i w:val="0"/>
                <w:color w:val="64748B"/>
                <w:sz w:val="14"/>
              </w:rPr>
              <w:t>STATUT</w:t>
              <w:br/>
            </w:r>
            <w:r>
              <w:rPr>
                <w:b/>
                <w:i w:val="0"/>
                <w:sz w:val="18"/>
              </w:rPr>
              <w:t>2  ·  1ʳᵉ visite : 2026-05-19T09:41:38</w:t>
            </w:r>
          </w:p>
        </w:tc>
      </w:tr>
    </w:tbl>
    <w:p/>
    <w:p>
      <w:r>
        <w:rPr>
          <w:b/>
          <w:i w:val="0"/>
          <w:color w:val="1F6FEB"/>
          <w:sz w:val="22"/>
        </w:rPr>
        <w:t>⚠ INCOHÉRENCES À CORRIGER (62)</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Incohérence!! Dans ce ménage, chaque individus consomme par jour .75 Kg  de cereale; Prière de vérifier les quantités prises des produits cérealiers (de Riz local Gambiaka à Autres semoules de céréales) auprès du ménage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s01q32, s01q36, s01q38, s04q37_modif, s02q33, s02q34, s00q01, s11q47</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incoherenceAvertissement!! Le ménage est-il réellement connecté à un réseau de téléphonie fixe? Prière de vérifier avec le ménage ou confirmer.</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s00q08, s00q10</w:t>
            </w:r>
          </w:p>
        </w:tc>
        <w:tc>
          <w:tcPr>
            <w:tcW w:type="dxa" w:w="1191"/>
          </w:tcPr>
          <w:p>
            <w:r>
              <w:rPr>
                <w:b w:val="0"/>
                <w:i w:val="0"/>
                <w:color w:val="64748B"/>
                <w:sz w:val="16"/>
              </w:rPr>
              <w:t>GT-CQ</w:t>
            </w:r>
          </w:p>
        </w:tc>
        <w:tc>
          <w:tcPr>
            <w:tcW w:type="dxa" w:w="4706"/>
          </w:tcPr>
          <w:p>
            <w:r>
              <w:rPr>
                <w:b w:val="0"/>
                <w:i w:val="0"/>
                <w:sz w:val="17"/>
              </w:rPr>
              <w:t>Prière de renseigner la bonne adresse.Le ménage de VICTOR TENDENG n'est pas un ménage sélectionné mais soit plutot un ménage de remplacement s'il a été réellement enquêté sinon remettez-le au ménage non rempli.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(2) de ce ménage est inférieur à la taille du denombrement (5),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domaine que victor tendeng bénéficié de cette formation est enseignement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dernier problème de santé pour lequel victor tendeng a été hospitalisé au cours des 12 derniers mois est érisipéle (bouton sur la jambe),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(14 jours) que victor tendeng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s00q14, s00q16, s00q18, s01q39, s01q42__1, s01q42__2, s02q30, s02q34</w:t>
            </w:r>
          </w:p>
        </w:tc>
        <w:tc>
          <w:tcPr>
            <w:tcW w:type="dxa" w:w="1191"/>
          </w:tcPr>
          <w:p>
            <w:r>
              <w:rPr>
                <w:b w:val="0"/>
                <w:i w:val="0"/>
                <w:color w:val="64748B"/>
                <w:sz w:val="16"/>
              </w:rPr>
              <w:t>GT-CQ</w:t>
            </w:r>
          </w:p>
        </w:tc>
        <w:tc>
          <w:tcPr>
            <w:tcW w:type="dxa" w:w="4706"/>
          </w:tcPr>
          <w:p>
            <w:r>
              <w:rPr>
                <w:b w:val="0"/>
                <w:i w:val="0"/>
                <w:sz w:val="17"/>
              </w:rPr>
              <w:t>Le nombre d'échéances de rembourcement restant de victor tendeng ne peut être égal à 0 pour ce credit immobilier en cours, veuillez revoir la question et corriger.</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s01q64, s00q04, s02q20, s02q25, s04q17, s04q21, s04q35b, s04q46</w:t>
            </w:r>
          </w:p>
        </w:tc>
        <w:tc>
          <w:tcPr>
            <w:tcW w:type="dxa" w:w="1191"/>
          </w:tcPr>
          <w:p>
            <w:r>
              <w:rPr>
                <w:b w:val="0"/>
                <w:i w:val="0"/>
                <w:color w:val="64748B"/>
                <w:sz w:val="16"/>
              </w:rPr>
              <w:t>GT-CQ</w:t>
            </w:r>
          </w:p>
        </w:tc>
        <w:tc>
          <w:tcPr>
            <w:tcW w:type="dxa" w:w="4706"/>
          </w:tcPr>
          <w:p>
            <w:r>
              <w:rPr>
                <w:b w:val="0"/>
                <w:i w:val="0"/>
                <w:sz w:val="17"/>
              </w:rPr>
              <w:t>Le nombre d'échéances de remboursement restant de victor tendeng ne peut être égal à 0 pour ce credit autres qu'immobilier en cours, veuillez revoir la question et corriger ou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Bières et vins traditionnels (dolo, vin de palme, vin de raphia, vin de cajou, etc.) est à domicile du vendeur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Viande de poulet entier est village a côté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(25 Fcfa) de Piment séché/ poudre en Sachets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s02q16, s03q05, s03q08, s03q15, s06q18, s07bq01, s07bq04, s07bq03b1</w:t>
            </w:r>
          </w:p>
        </w:tc>
        <w:tc>
          <w:tcPr>
            <w:tcW w:type="dxa" w:w="1191"/>
          </w:tcPr>
          <w:p>
            <w:r>
              <w:rPr>
                <w:b w:val="0"/>
                <w:i w:val="0"/>
                <w:color w:val="64748B"/>
                <w:sz w:val="16"/>
              </w:rPr>
              <w:t>GT-CQ</w:t>
            </w:r>
          </w:p>
        </w:tc>
        <w:tc>
          <w:tcPr>
            <w:tcW w:type="dxa" w:w="4706"/>
          </w:tcPr>
          <w:p>
            <w:r>
              <w:rPr>
                <w:b w:val="0"/>
                <w:i w:val="0"/>
                <w:sz w:val="17"/>
              </w:rPr>
              <w:t>La consommation de 2 Pièce en Moyen de Orange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s02q16, s03q05, s03q08, s03q15, s06q18, s07bq01, s07bq04, s07bq03b1</w:t>
            </w:r>
          </w:p>
        </w:tc>
        <w:tc>
          <w:tcPr>
            <w:tcW w:type="dxa" w:w="1191"/>
          </w:tcPr>
          <w:p>
            <w:r>
              <w:rPr>
                <w:b w:val="0"/>
                <w:i w:val="0"/>
                <w:color w:val="64748B"/>
                <w:sz w:val="16"/>
              </w:rPr>
              <w:t>GT-CQ</w:t>
            </w:r>
          </w:p>
        </w:tc>
        <w:tc>
          <w:tcPr>
            <w:tcW w:type="dxa" w:w="4706"/>
          </w:tcPr>
          <w:p>
            <w:r>
              <w:rPr>
                <w:b w:val="0"/>
                <w:i w:val="0"/>
                <w:sz w:val="17"/>
              </w:rPr>
              <w:t>La consommation de 2 Pièce en Moyen de Pamplemousse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s02q16, s03q05, s03q08, s03q15, s06q18, s07bq01, s07bq04, s07bq03b1</w:t>
            </w:r>
          </w:p>
        </w:tc>
        <w:tc>
          <w:tcPr>
            <w:tcW w:type="dxa" w:w="1191"/>
          </w:tcPr>
          <w:p>
            <w:r>
              <w:rPr>
                <w:b w:val="0"/>
                <w:i w:val="0"/>
                <w:color w:val="64748B"/>
                <w:sz w:val="16"/>
              </w:rPr>
              <w:t>GT-CQ</w:t>
            </w:r>
          </w:p>
        </w:tc>
        <w:tc>
          <w:tcPr>
            <w:tcW w:type="dxa" w:w="4706"/>
          </w:tcPr>
          <w:p>
            <w:r>
              <w:rPr>
                <w:b w:val="0"/>
                <w:i w:val="0"/>
                <w:sz w:val="17"/>
              </w:rPr>
              <w:t>La consommation de 5 Pièce en Petit de Madd, Zaban (Fole)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s02q16, s03q05, s03q08, s03q15, s06q18, s07bq01, s07bq04, s07bq03b1</w:t>
            </w:r>
          </w:p>
        </w:tc>
        <w:tc>
          <w:tcPr>
            <w:tcW w:type="dxa" w:w="1191"/>
          </w:tcPr>
          <w:p>
            <w:r>
              <w:rPr>
                <w:b w:val="0"/>
                <w:i w:val="0"/>
                <w:color w:val="64748B"/>
                <w:sz w:val="16"/>
              </w:rPr>
              <w:t>GT-CQ</w:t>
            </w:r>
          </w:p>
        </w:tc>
        <w:tc>
          <w:tcPr>
            <w:tcW w:type="dxa" w:w="4706"/>
          </w:tcPr>
          <w:p>
            <w:r>
              <w:rPr>
                <w:b w:val="0"/>
                <w:i w:val="0"/>
                <w:sz w:val="17"/>
              </w:rPr>
              <w:t>La consommation de 6 Pièce en Moyen de Mangue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VICTOR TENDENG (108000 Fcfa) de la fête de Pâques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VICTOR TENDENG (45000 Fcfa) de la fête de Nouvel 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VICTOR TENDENG (83000 Fcfa) de la fête de Autres fêtes réligieuses chrétiennes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VICTOR TENDENG (90000 Fcfa) de la fête de Noël 2025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dans le menage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VICTOR TENDENG (40000 Fcfa) au cours de 30 derniers jours de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VICTOR TENDENG (2000 Fcfa) au cours de 30 derniers jours de Bougies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VICTOR TENDENG (2400 Fcfa) au cours de 30 derniers jours de Insecticide, tortillon anti-moustique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VICTOR TENDENG (5000 Fcfa) au cours de 30 derniers jours de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(Pressing)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VICTOR TENDENG (5500 Fcfa) au cours de 30 derniers jours de Gaz domestique 12,5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VICTOR TENDENG (3000 Fcfa) au cours de 3 derniers mois de Frais de livraison d'un achat, non inclus dans le prix d'acquisition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(4500 Fcfa) pour Frais de photocopies de document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VICTOR TENDENG (4500 Fcfa) au cours de 3 derniers mois de Frais de photocopies de document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VICTOR TENDENG (175000 Fcfa) au cours de 12 derniers mois de Frais d'installation d'un système d'alimentation électrique solaire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VICTOR TENDENG (200000 Fcfa) au cours de 12 derniers mois de Frais pour creuser et aménager un puits ou pour construire un forage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VICTOR TENDENG (3000 Fcfa) au cours de 12 derniers mois de Papier rame, enveloppes, articles de dessin (pinceaux, papier, peinture etc.),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VICTOR TENDENG (35000 Fcfa) au cours de 12 derniers mois de Achat de périphériques informatiques (clavier, souris, webcam, disque dur externe, etc.)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VICTOR TENDENG (420000 Fcfa) au cours de 12 derniers mois de Achat de plaques ou panneaux solaires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VICTOR TENDENG (5000 Fcfa) au cours de 12 derniers mois de Achat d’accessoires numériques (casque audio, écouteurs, haut-parleurs Bluetooth, etc.) pour usage personnel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ZIGUINCHOR Urbain ont généralement comme principal matériau de revêtement du sol du logement le/la Ciment/Béton, mais celui du ménage de VICTOR TENDENG (Carreaux/Marbre)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motif du transfert est secours suite à un arret de travail temporaire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emilie tendeng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s01q64, s00q04, s02q20, s02q25, s04q17, s04q21, s04q35b, s04q46</w:t>
            </w:r>
          </w:p>
        </w:tc>
        <w:tc>
          <w:tcPr>
            <w:tcW w:type="dxa" w:w="1191"/>
          </w:tcPr>
          <w:p>
            <w:r>
              <w:rPr>
                <w:b w:val="0"/>
                <w:i w:val="0"/>
                <w:color w:val="64748B"/>
                <w:sz w:val="16"/>
              </w:rPr>
              <w:t>GT-CQ</w:t>
            </w:r>
          </w:p>
        </w:tc>
        <w:tc>
          <w:tcPr>
            <w:tcW w:type="dxa" w:w="4706"/>
          </w:tcPr>
          <w:p>
            <w:r>
              <w:rPr>
                <w:b w:val="0"/>
                <w:i w:val="0"/>
                <w:sz w:val="17"/>
              </w:rPr>
              <w:t>Avertissement!!! victor tendeng est un Instituteurs, enseignement primaire qui travaille dans Entreprise Privée et a declaré comme catégorie socioprofessionnelle Stagière ou Apprenti rénuméré , prière de vérifier cette information de catégorie socioprofessionnelle auprès de l'enquêté (e)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21 Pièce Petit de Sucre en morceaux,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VICTOR TENDENG a comme taille 2 personnes dont ils vivent à ZIGUINCHOR Urbain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Brûlées par le ménage en milieu urbain, prière de corriger ou confirmer avec le QG.</w:t>
            </w:r>
          </w:p>
        </w:tc>
      </w:tr>
    </w:tbl>
    <w:p/>
    <w:p>
      <w:r>
        <w:rPr>
          <w:b/>
          <w:i w:val="0"/>
          <w:color w:val="1F6FEB"/>
          <w:sz w:val="22"/>
        </w:rPr>
        <w:t>💬 COMMENTAIRES SUPERVISEUR / ENQUÊTEUR (2)</w:t>
      </w:r>
    </w:p>
    <w:p>
      <w:pPr>
        <w:pStyle w:val="ListBullet"/>
      </w:pPr>
      <w:r>
        <w:rPr>
          <w:b w:val="0"/>
          <w:i w:val="0"/>
          <w:color w:val="64748B"/>
          <w:sz w:val="16"/>
        </w:rPr>
        <w:t xml:space="preserve">[2026-05-19 16:35:45] </w:t>
      </w:r>
      <w:r>
        <w:rPr>
          <w:b/>
          <w:i w:val="0"/>
          <w:color w:val="1F6FEB"/>
          <w:sz w:val="16"/>
        </w:rPr>
        <w:t xml:space="preserve">EQ34_enq3_v2 </w:t>
      </w:r>
      <w:r>
        <w:rPr>
          <w:b w:val="0"/>
          <w:i w:val="0"/>
          <w:color w:val="64748B"/>
          <w:sz w:val="16"/>
        </w:rPr>
        <w:t xml:space="preserve">sur s09Cq03 : </w:t>
      </w:r>
      <w:r>
        <w:rPr>
          <w:b w:val="0"/>
          <w:i w:val="0"/>
          <w:sz w:val="17"/>
        </w:rPr>
        <w:t>C’est gaz de 9kg</w:t>
      </w:r>
    </w:p>
    <w:p>
      <w:pPr>
        <w:pStyle w:val="ListBullet"/>
      </w:pPr>
      <w:r>
        <w:rPr>
          <w:b w:val="0"/>
          <w:i w:val="0"/>
          <w:color w:val="64748B"/>
          <w:sz w:val="16"/>
        </w:rPr>
        <w:t xml:space="preserve">[2026-05-26 10:57:52] </w:t>
      </w:r>
      <w:r>
        <w:rPr>
          <w:b/>
          <w:i w:val="0"/>
          <w:color w:val="1F6FEB"/>
          <w:sz w:val="16"/>
        </w:rPr>
        <w:t xml:space="preserve">EQ34_sup_v2 </w:t>
      </w:r>
      <w:r>
        <w:rPr>
          <w:b w:val="0"/>
          <w:i w:val="0"/>
          <w:color w:val="64748B"/>
          <w:sz w:val="16"/>
        </w:rPr>
        <w:t xml:space="preserve">sur @@RejectedBySupervisor : </w:t>
      </w:r>
      <w:r>
        <w:rPr>
          <w:b w:val="0"/>
          <w:i w:val="0"/>
          <w:sz w:val="17"/>
        </w:rPr>
        <w:t>"Depenses non alimentaires des 30 derniers jours le menage a payè les services d une bonne revoir cette partie et metter le montant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