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MARY NDIABALY a declaré que le secteur institutionnel de sa mère est Ménage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AMIDOU GNABALY a declaré que le secteur institutionnel de sa mère est Ménage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ANTA GNABALY a declaré que le secteur institutionnel de sa mère est Ménage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MAÏMOUNA NGABALY a declaré que le secteur institutionnel de sa mère est Ménage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HAMADOU GNABALY ignore son année de naissance mais declare l'âge qu'il avait à son dernier anniverssaireLa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d'énergie ( Charbon minéral) pour la cusine semble incoherent, prière de corriger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MARY NDIABALY est trop jeune (3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MARY NDIABALY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MARY NDIABALY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AMIDOU GNABALY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ANTA GNABALY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MAÏMOUNA NGABALY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HAMADOU GNABALY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GNABALY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AMIDOU GNABALY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Faty bineta gnabaly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GNABALY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HAMADOU GNABALY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MARY NDIABALY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MAÏMOUNA NGABALY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( 16000 FCFA) de MAÏMOUNA NGABALY  qui fréquente 3ème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( 7500 FCFA) payée de MAÏMOUNA NGABALY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montant(12500 FCFA) des dépenses pour chaque visite prénatale de Faty bineta gnabaly semble faible (voir nul) ou élevé, prière de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Transport urbain/rural en moto-taxi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GNABALY (6000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ABDOU GNABALY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ABDOU GNABALY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Faty bineta gnabaly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Faty bineta gnabaly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principale source d’énergie pour la cuisine est Charbon minéral,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