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DIA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KARDIATOU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DIA ignore son année de naissance mais declare l'âge qu'il avait à son dernier anniverssaireLa taille du ménage lors de l'enquête principale (14) de ce ménage est inférieur à la taille du denombrement (25),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OUREYE DIA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KARDIATOU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AISSATA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AISSATA DIA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HOURAYE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HOURAYE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(6000 FCFA) pour l'année scolaire de HOURAYE DIA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KARDIATOU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KARDIATOU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KARDIATOU DIA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MAMADOU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MAMADOU DIA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MARY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(2500 FCFA) pour l'année scolaire de MARY DIA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OUREYE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OUREYE DIA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OUREYE DIA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YERO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SAMBA DIA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SAMBA DIA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DEMBA DIA (1200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IDY DIA (600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DIA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SAMBA DIA (411500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(3000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BERGER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(5250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(2300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(2500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(4300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(6000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(1400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(2500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 (7000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Moto/Vélomoteur/Tricycle à moteur est inférieur aux prix de revente (250000)  avec l'âge du bien atteignant 2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(12000)  avec l'âge du bien atteignant 3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(32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(100000 FCFA) de Charrettes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(50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Houe asine est inférieur aux prix de revente (20000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