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58-48-84-92</w:t>
      </w:r>
    </w:p>
    <w:p>
      <w:r>
        <w:rPr>
          <w:b w:val="0"/>
          <w:i w:val="0"/>
          <w:color w:val="64748B"/>
          <w:sz w:val="18"/>
        </w:rPr>
        <w:t>Enquêteur : EQ20_sup_v2  ·  Équipe : EQ20  ·  Snapshot : 2026-06-04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052101000088</w:t>
            </w:r>
          </w:p>
        </w:tc>
        <w:tc>
          <w:tcPr>
            <w:tcW w:type="dxa" w:w="3551"/>
            <w:shd w:fill="F8FAFC"/>
          </w:tcPr>
          <w:p>
            <w:r>
              <w:rPr>
                <w:b w:val="0"/>
                <w:i w:val="0"/>
                <w:color w:val="64748B"/>
                <w:sz w:val="14"/>
              </w:rPr>
              <w:t>MÉNAGE</w:t>
              <w:br/>
            </w:r>
            <w:r>
              <w:rPr>
                <w:b/>
                <w:i w:val="0"/>
                <w:color w:val="1F6FEB"/>
                <w:sz w:val="18"/>
              </w:rPr>
              <w:t>58-48-84-92</w:t>
            </w:r>
          </w:p>
        </w:tc>
        <w:tc>
          <w:tcPr>
            <w:tcW w:type="dxa" w:w="3551"/>
            <w:shd w:fill="F8FAFC"/>
          </w:tcPr>
          <w:p>
            <w:r>
              <w:rPr>
                <w:b w:val="0"/>
                <w:i w:val="0"/>
                <w:color w:val="64748B"/>
                <w:sz w:val="14"/>
              </w:rPr>
              <w:t>CHEF DE MÉNAGE</w:t>
              <w:br/>
            </w:r>
            <w:r>
              <w:rPr>
                <w:b/>
                <w:i w:val="0"/>
                <w:sz w:val="18"/>
              </w:rPr>
              <w:t>OUSMANE TOURE</w:t>
            </w:r>
          </w:p>
        </w:tc>
      </w:tr>
      <w:tr>
        <w:tc>
          <w:tcPr>
            <w:tcW w:type="dxa" w:w="3551"/>
            <w:shd w:fill="F8FAFC"/>
          </w:tcPr>
          <w:p>
            <w:r>
              <w:rPr>
                <w:b w:val="0"/>
                <w:i w:val="0"/>
                <w:color w:val="64748B"/>
                <w:sz w:val="14"/>
              </w:rPr>
              <w:t>TÉLÉPHONE CM</w:t>
              <w:br/>
            </w:r>
            <w:r>
              <w:rPr>
                <w:b/>
                <w:i w:val="0"/>
                <w:sz w:val="18"/>
              </w:rPr>
              <w:t>78 567 53 95</w:t>
            </w:r>
          </w:p>
        </w:tc>
        <w:tc>
          <w:tcPr>
            <w:tcW w:type="dxa" w:w="3551"/>
            <w:shd w:fill="F8FAFC"/>
          </w:tcPr>
          <w:p>
            <w:r>
              <w:rPr>
                <w:b w:val="0"/>
                <w:i w:val="0"/>
                <w:color w:val="64748B"/>
                <w:sz w:val="14"/>
              </w:rPr>
              <w:t>LOCALISATION</w:t>
              <w:br/>
            </w:r>
            <w:r>
              <w:rPr>
                <w:b/>
                <w:i w:val="0"/>
                <w:sz w:val="18"/>
              </w:rPr>
              <w:t>au fond 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EQ20_sup_v2  (202)</w:t>
            </w:r>
          </w:p>
        </w:tc>
        <w:tc>
          <w:tcPr>
            <w:tcW w:type="dxa" w:w="3551"/>
            <w:shd w:fill="F8FAFC"/>
          </w:tcPr>
          <w:p>
            <w:r>
              <w:rPr>
                <w:b w:val="0"/>
                <w:i w:val="0"/>
                <w:color w:val="64748B"/>
                <w:sz w:val="14"/>
              </w:rPr>
              <w:t>SUPERVISEUR</w:t>
              <w:br/>
            </w:r>
            <w:r>
              <w:rPr>
                <w:b/>
                <w:i w:val="0"/>
                <w:sz w:val="18"/>
              </w:rPr>
              <w:t>20</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(115)</w:t>
      </w:r>
    </w:p>
    <w:tbl>
      <w:tblPr>
        <w:tblStyle w:val="TableGrid"/>
        <w:tblW w:type="auto" w:w="0"/>
        <w:tblLook w:firstColumn="1" w:firstRow="1" w:lastColumn="0" w:lastRow="0" w:noHBand="0" w:noVBand="1" w:val="04A0"/>
      </w:tblPr>
      <w:tblGrid>
        <w:gridCol w:w="2663"/>
        <w:gridCol w:w="2663"/>
        <w:gridCol w:w="2663"/>
        <w:gridCol w:w="2663"/>
      </w:tblGrid>
      <w:tr>
        <w:tc>
          <w:tcPr>
            <w:tcW w:type="dxa" w:w="1134"/>
            <w:shd w:fill="1F6FEB"/>
          </w:tcPr>
          <w:p>
            <w:r>
              <w:rPr>
                <w:b/>
                <w:i w:val="0"/>
                <w:color w:val="FFFFFF"/>
                <w:sz w:val="16"/>
              </w:rPr>
              <w:t>Sévérité</w:t>
            </w:r>
          </w:p>
        </w:tc>
        <w:tc>
          <w:tcPr>
            <w:tcW w:type="dxa" w:w="1361"/>
            <w:shd w:fill="1F6FEB"/>
          </w:tcPr>
          <w:p>
            <w:r>
              <w:rPr>
                <w:b/>
                <w:i w:val="0"/>
                <w:color w:val="FFFFFF"/>
                <w:sz w:val="16"/>
              </w:rPr>
              <w:t>Section</w:t>
            </w:r>
          </w:p>
        </w:tc>
        <w:tc>
          <w:tcPr>
            <w:tcW w:type="dxa" w:w="1361"/>
            <w:shd w:fill="1F6FEB"/>
          </w:tcPr>
          <w:p>
            <w:r>
              <w:rPr>
                <w:b/>
                <w:i w:val="0"/>
                <w:color w:val="FFFFFF"/>
                <w:sz w:val="16"/>
              </w:rPr>
              <w:t>Source</w:t>
            </w:r>
          </w:p>
        </w:tc>
        <w:tc>
          <w:tcPr>
            <w:tcW w:type="dxa" w:w="5839"/>
            <w:shd w:fill="1F6FEB"/>
          </w:tcPr>
          <w:p>
            <w:r>
              <w:rPr>
                <w:b/>
                <w:i w:val="0"/>
                <w:color w:val="FFFFFF"/>
                <w:sz w:val="16"/>
              </w:rPr>
              <w:t>Message / action</w:t>
            </w:r>
          </w:p>
        </w:tc>
      </w:tr>
      <w:tr>
        <w:tc>
          <w:tcPr>
            <w:tcW w:type="dxa" w:w="1134"/>
          </w:tcPr>
          <w:p>
            <w:r>
              <w:rPr>
                <w:b/>
                <w:i w:val="0"/>
                <w:color w:val="DC2626"/>
                <w:sz w:val="16"/>
              </w:rPr>
              <w:t>Haute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Prière de renseigner la bonne adresse.Incoherent!!! Les questions 0.13 ou 0.15 ou 0.17 ne doivent contenir des numéros de téléphones, elles concernent plutôt des noms des personnes auquelles vous allez les contacts.</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incoherent! Il manque des informations non renseignées (3 question(s) de  fatouma toure) , prière de renseigner toutes les questions liées à  fatouma toure .</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fatouma toure a declaré que la catégorie socioprofessionnelle de sa mère est Travailleur pour compte propre alors que la mère elle-même declare comme catégorie socioprofessionnelle Ouvrier ou employé qualifié au niveau de la section 4b.</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fatouma toure a declaré que le secteur institutionnel de sa mère est Entreprise individuelle alors que la mère elle-même declare comme secteur institutionnel Ménage comme employeur de personnel domestique au niveau de la section 4b.</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incoherent! Il manque des informations non renseignées (3 question(s) de  mamadou kante) , prière de renseigner toutes les questions liées à  mamadou kante .</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incoherent! Il manque des informations non renseignées (3 question(s) de  adama toure) , prière de renseigner toutes les questions liées à  adama toure .</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adama toure a declaré que la catégorie socioprofessionnelle de sa mère est Travailleur pour compte propre alors que la mère elle-même declare comme catégorie socioprofessionnelle Ouvrier ou employé qualifié au niveau de la section 4b.</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adama toure a declaré que le secteur institutionnel de sa mère est Entreprise individuelle alors que la mère elle-même declare comme secteur institutionnel Ménage comme employeur de personnel domestique au niveau de la section 4b.</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incoherent! Il manque des informations non renseignées (4 question(s) de  kade boye toure) , prière de renseigner toutes les questions liées à  kade boye toure .</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kade boye toure a declaré que la catégorie socioprofessionnelle de sa mère est Travailleur pour compte propre alors que la mère elle-même declare comme catégorie socioprofessionnelle Ouvrier ou employé qualifié au niveau de la section 4b.</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kade boye toure a declaré que le secteur institutionnel de sa mère est Entreprise individuelle alors que la mère elle-même declare comme secteur institutionnel Ménage comme employeur de personnel domestique au niveau de la section 4b.</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rougui toure a declaré que la catégorie socioprofessionnelle de sa mère est Travailleur pour compte propre alors que la mère elle-même declare comme catégorie socioprofessionnelle Ouvrier ou employé qualifié au niveau de la section 4b.</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rougui toure a declaré que le secteur institutionnel de sa mère est Entreprise individuelle alors que la mère elle-même declare comme secteur institutionnel Ménage comme employeur de personnel domestique au niveau de la section 4b.</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boubacar toure a declaré que la catégorie socioprofessionnelle de sa mère est Travailleur pour compte propre alors que la mère elle-même declare comme catégorie socioprofessionnelle Ouvrier ou employé qualifié au niveau de la section 4b.</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boubacar toure a declaré que le secteur institutionnel de sa mère est Entreprise individuelle alors que la mère elle-même declare comme secteur institutionnel Ménage comme employeur de personnel domestique au niveau de la section 4b.</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madioula toure a declaré que la catégorie socioprofessionnelle de sa mère est Travailleur pour compte propre alors que la mère elle-même declare comme catégorie socioprofessionnelle Ouvrier ou employé qualifié au niveau de la section 4b.</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madioula toure a declaré que le secteur institutionnel de sa mère est Entreprise individuelle alors que la mère elle-même declare comme secteur institutionnel Ménage comme employeur de personnel domestique au niveau de la section 4b.</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ousmane toure dispose d'un téléphone portable à s01q39, donc la raison évoquée ne peut pas être (ne dispose pas d'appareil).</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Incohérence!!! seulement les écoles privées paient les frais de scolarité (y compris les frais d'inscription).</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Vu l'âge (16 ans) de fatouma toure ou l'année à laquelle fatouma toure a fréquenté l'école pour la dernière fois (2023) le dernier diplome de fatouma toure ne peut être le Certificat d'études primaires (CEP), prière de corriger cette incohérence ou confirmer avec le QG.</w:t>
            </w:r>
          </w:p>
        </w:tc>
      </w:tr>
      <w:tr>
        <w:tc>
          <w:tcPr>
            <w:tcW w:type="dxa" w:w="1134"/>
          </w:tcPr>
          <w:p>
            <w:r>
              <w:rPr>
                <w:b/>
                <w:i w:val="0"/>
                <w:color w:val="DC2626"/>
                <w:sz w:val="16"/>
              </w:rPr>
              <w:t>Haute</w:t>
            </w:r>
          </w:p>
        </w:tc>
        <w:tc>
          <w:tcPr>
            <w:tcW w:type="dxa" w:w="1361"/>
          </w:tcPr>
          <w:p>
            <w:r>
              <w:rPr>
                <w:b/>
                <w:i w:val="0"/>
                <w:sz w:val="16"/>
              </w:rPr>
              <w:t>S13</w:t>
              <w:br/>
            </w:r>
            <w:r>
              <w:rPr>
                <w:b w:val="0"/>
                <w:i w:val="0"/>
                <w:color w:val="64748B"/>
                <w:sz w:val="14"/>
              </w:rPr>
              <w:t>Transferts</w:t>
            </w:r>
          </w:p>
        </w:tc>
        <w:tc>
          <w:tcPr>
            <w:tcW w:type="dxa" w:w="1361"/>
          </w:tcPr>
          <w:p>
            <w:r>
              <w:rPr>
                <w:b w:val="0"/>
                <w:i w:val="0"/>
                <w:color w:val="64748B"/>
                <w:sz w:val="16"/>
              </w:rPr>
              <w:t>GT-CQ</w:t>
            </w:r>
          </w:p>
        </w:tc>
        <w:tc>
          <w:tcPr>
            <w:tcW w:type="dxa" w:w="5839"/>
          </w:tcPr>
          <w:p>
            <w:r>
              <w:rPr>
                <w:b w:val="0"/>
                <w:i w:val="0"/>
                <w:sz w:val="17"/>
              </w:rPr>
              <w:t>L'âge du béneficiaire d'argent dans la section 13b (Transfert emis) semble incoherent voir élévé, prière de verifier ou corriger.</w:t>
            </w:r>
          </w:p>
        </w:tc>
      </w:tr>
      <w:tr>
        <w:tc>
          <w:tcPr>
            <w:tcW w:type="dxa" w:w="1134"/>
          </w:tcPr>
          <w:p>
            <w:r>
              <w:rPr>
                <w:b/>
                <w:i w:val="0"/>
                <w:color w:val="DC2626"/>
                <w:sz w:val="16"/>
              </w:rPr>
              <w:t>Haute</w:t>
            </w:r>
          </w:p>
        </w:tc>
        <w:tc>
          <w:tcPr>
            <w:tcW w:type="dxa" w:w="1361"/>
          </w:tcPr>
          <w:p>
            <w:r>
              <w:rPr>
                <w:b/>
                <w:i w:val="0"/>
                <w:sz w:val="16"/>
              </w:rPr>
              <w:t>S20</w:t>
              <w:br/>
            </w:r>
            <w:r>
              <w:rPr>
                <w:b w:val="0"/>
                <w:i w:val="0"/>
                <w:color w:val="64748B"/>
                <w:sz w:val="14"/>
              </w:rPr>
              <w:t>Gouvernance / autres</w:t>
            </w:r>
          </w:p>
        </w:tc>
        <w:tc>
          <w:tcPr>
            <w:tcW w:type="dxa" w:w="1361"/>
          </w:tcPr>
          <w:p>
            <w:r>
              <w:rPr>
                <w:b w:val="0"/>
                <w:i w:val="0"/>
                <w:color w:val="64748B"/>
                <w:sz w:val="16"/>
              </w:rPr>
              <w:t>GT-CQ</w:t>
            </w:r>
          </w:p>
        </w:tc>
        <w:tc>
          <w:tcPr>
            <w:tcW w:type="dxa" w:w="5839"/>
          </w:tcPr>
          <w:p>
            <w:r>
              <w:rPr>
                <w:b w:val="0"/>
                <w:i w:val="0"/>
                <w:sz w:val="17"/>
              </w:rPr>
              <w:t>Incohérence détectée ! Le ménage a précédemment déclaré vivre « Bien » ou « Assez bien » selon son revenu en 20A.02.</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L'adresse ou la localisation du ménage doit être bien renseignée, ne doit pas contenir des numéros de téléphone et elle semble courte pour être une adresse.</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Prière de mettre les noms dans ces questions et mettre les contacts à leurs places.</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Attention! Veillez bien renseigner les contacts dans les questions de 0.14 ou 0.16 ou 0.18.</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fatouma toure ou corriger au niveau de la section 1.</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adama toure ou corriger au niveau de la section 1.</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kade boye toure ou corriger au niveau de la section 1.</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Attention ! Vous avez déclaré en s01q00 que le répondant est la personne elle-même, or rougui toure est trop jeune (4 ans) pour fournir des informations correctes.</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refaire la section 1 pour rougui toure en demandant à un adulte de répondre aux questions à sa place.</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rougui toure ou corriger au niveau de la section 1.</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boubacar toure ou corriger au niveau de la section 1.</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madioula toure ou corriger au niveau de la section 1.</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La taille du ménage lors de l'enquête principale (8) de ce ménage est inférieur à la taille du denombrement (13), prière de fournir des explications concrètes ou aller revisiter le ménage.</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adama toure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corriger ou donner des explications au QG.</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boubacar toure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les frais de scolarité ( 2000 FCFA) payée de boubacar toure avec le QG ou apporter les corrections nécessaires.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Dans les milieux urbains c'est peu probable de voir une école dont les élèves ou étudiants ne dépensent pas en frais d'uniformes, prière de verifier pour boubacar toure qui fréquente 1ére année de Primaire et corriger ou confirmer avec le QG.</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fatouma toure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kade boye toure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mamadou kante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ousmane toure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rougui toure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boubacar toure fait eleve pour subvenir principalement à ses besoins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Attention ! Le nombre de jours (4 jours) que kade boye toure a travaillés par mois semble être inférieur à 15.</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Veuillez, s'il vous plaît, confirmer cette information.</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Attention! le nombre d'heure (3 heures) que kade boye toure a travaillé par jour semble faible, veuillez s'il vous plait confirmer cette information avec le QG.</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Attention ! Le nombre de jours (4 jours) que mamadou kante a travaillés par mois semble être inférieur à 15.</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Attention ! Le nombre de jours (4 jours) que ousmane toure a travaillés par mois semble être inférieur à 15.</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Attention! le nombre d'heure que mamadou kante a travaillé par jour semble faible, veuillez s'il vous plait confirmer cette information avec le QG.</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La dernière fois que vous avez acheté Feuilles nébédaye/ poudre (moringa) est jardin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Le prix unitaire d'achat (1200 Fcfa) de Arachides pilées en Kg (taille unique) est relativement élevé par rapport aux autres prix observés dans cette zone.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Le prix unitaire d'achat (500 Fcfa) de Lait en poudre en Sachets (Petit) est relativement élevé par rapport aux autres prix observés dans cette zone.</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Magal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OUSMANE TOURE (2000 Fcfa) au cours de 7 derniers jours de Cigarettes, Tabac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OUSMANE TOURE (2000 Fcfa) au cours de 7 derniers jours de Transport urbain en taxi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dernière fois que vous avez acheté Bois de chauffe ramassé/coupé (estimer la valeur) est ramasser dans la foret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dernière fois que vous avez acheté Frais de ramassage des ordures ménagères est charetier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OUSMANE TOURE (500 Fcfa) au cours de 30 derniers jours de Insecticide, tortillon anti-moustique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OUSMANE TOURE (600 Fcfa) au cours de 30 derniers jours de Piles électriques,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OUSMANE TOURE (250 Fcfa) au cours de 3 derniers mois de Frais d'entretien et de réparation de chaussures: cirage, ressemelage, etc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dernière fois que vous avez acheté Droit d'entrée (achat d'un ticket) à des manifestations sportives est au stade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OUSMANE TOURE (800 Fcfa) au cours de 6 derniers mois de Droit d'entrée (achat d'un ticket) à des manifestations sportives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OUSMANE TOURE (2000 Fcfa) au cours de 6 derniers mois de Ampoules électriques pour le logement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OUSMANE TOURE (4000 Fcfa) au cours de 6 derniers mois de Frais de confection et de réparation de vêtements femme: robe, pantalon, jupe, ensemble, réparation, location,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OUSMANE TOURE (5000 Fcfa) au cours de 6 derniers mois de Frais de confection et de réparation de vêtements enfants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dernière fois que vous avez acheté Main-d'oeuvre pour la construction et les grosses réparation de logement (maçonnerie, toiture et charpente, électricité, plomberie, menuiserie, peinture et revêtement du sol), etc est client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OUSMANE TOURE (1000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dernière fois que vous avez acheté Matériaux de maçonnerie pour la construction ou les grosses réparations de logement: ciment, briques, fer à béton, sable, gravier, parpaings, etc est client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OUSMANE TOURE (3000 Fcfa) au cours de 12 derniers mois de Matériel pour l'entretien et les petites réparations du logement (remplacement d'une tôle, d'une vitre,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OUSMANE TOURE (3000 Fcfa) au cours de 12 derniers mois de Ustensiles de cuisine: casserole, marmite, tamis local, réparation d'ustensiles de cuisine, etc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OUSMANE TOURE (6000 Fcfa) au cours de 12 derniers mois de Achat d'un appareil électro-ménager: frigo, climatiseurs, réchaud, four, cuisinière, lave-linge, chauffe-eau, fer à repasser, etc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OUSMANE TOURE (6000 Fcfa) au cours de 12 derniers mois de Autres ustensiles de ménage: seau, bouilloire, biberon, poubelle, tasses, cafétière non électrique, théière, calebasse, louche, jarre, canari, mortier, pilon, etc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OUSMANE TOURE (6000 Fcfa) au cours de 12 derniers mois de Linge de maison et articles associés (serviettes de bain, drap, couverture, couvre-lit, oreillers, moustiquaire, nattes, tapis, rideaux, éventail,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OUSMANE TOURE (7500 Fcfa) au cours de 12 derniers mois de Outillage de maison: outils de bricolage (marteau, tournevis, etc.); outil de jardinage (pelle, râteau, brouette, etc.); est relativement élevé.</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L'entreprise transformation des arbres en planche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type de local l'activité s'exerce transformation des arbres en planche est dans la foret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La personne non-membre du ménage qui figure sur le titre de propriété est c'est le chef de menage qui paye le loyer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S13</w:t>
              <w:br/>
            </w:r>
            <w:r>
              <w:rPr>
                <w:b w:val="0"/>
                <w:i w:val="0"/>
                <w:color w:val="64748B"/>
                <w:sz w:val="14"/>
              </w:rPr>
              <w:t>Transferts</w:t>
            </w:r>
          </w:p>
        </w:tc>
        <w:tc>
          <w:tcPr>
            <w:tcW w:type="dxa" w:w="1361"/>
          </w:tcPr>
          <w:p>
            <w:r>
              <w:rPr>
                <w:b w:val="0"/>
                <w:i w:val="0"/>
                <w:color w:val="64748B"/>
                <w:sz w:val="16"/>
              </w:rPr>
              <w:t>GT-CQ</w:t>
            </w:r>
          </w:p>
        </w:tc>
        <w:tc>
          <w:tcPr>
            <w:tcW w:type="dxa" w:w="5839"/>
          </w:tcPr>
          <w:p>
            <w:r>
              <w:rPr>
                <w:b w:val="0"/>
                <w:i w:val="0"/>
                <w:sz w:val="17"/>
              </w:rPr>
              <w:t>L'enquêteur prière de fournir d'effort pour avoir le niveau d'étude et l'âge de celui qui a béneficié de l'argent dans la section 13b (Transfert emis).</w:t>
            </w:r>
          </w:p>
        </w:tc>
      </w:tr>
      <w:tr>
        <w:tc>
          <w:tcPr>
            <w:tcW w:type="dxa" w:w="1134"/>
          </w:tcPr>
          <w:p>
            <w:r>
              <w:rPr>
                <w:b/>
                <w:i w:val="0"/>
                <w:color w:val="EA580C"/>
                <w:sz w:val="16"/>
              </w:rPr>
              <w:t>Moyenne</w:t>
            </w:r>
          </w:p>
        </w:tc>
        <w:tc>
          <w:tcPr>
            <w:tcW w:type="dxa" w:w="1361"/>
          </w:tcPr>
          <w:p>
            <w:r>
              <w:rPr>
                <w:b/>
                <w:i w:val="0"/>
                <w:sz w:val="16"/>
              </w:rPr>
              <w:t>S15</w:t>
              <w:br/>
            </w:r>
            <w:r>
              <w:rPr>
                <w:b w:val="0"/>
                <w:i w:val="0"/>
                <w:color w:val="64748B"/>
                <w:sz w:val="14"/>
              </w:rPr>
              <w:t>Filets de sécurité</w:t>
            </w:r>
          </w:p>
        </w:tc>
        <w:tc>
          <w:tcPr>
            <w:tcW w:type="dxa" w:w="1361"/>
          </w:tcPr>
          <w:p>
            <w:r>
              <w:rPr>
                <w:b w:val="0"/>
                <w:i w:val="0"/>
                <w:color w:val="64748B"/>
                <w:sz w:val="16"/>
              </w:rPr>
              <w:t>Inter-sections</w:t>
            </w:r>
          </w:p>
        </w:tc>
        <w:tc>
          <w:tcPr>
            <w:tcW w:type="dxa" w:w="5839"/>
          </w:tcPr>
          <w:p>
            <w:r>
              <w:rPr>
                <w:b w:val="0"/>
                <w:i w:val="0"/>
                <w:sz w:val="17"/>
              </w:rPr>
              <w:t>[ssaw_autre_filet_securite] Raison non-bénéfice filet sécurité saisie en 'Autre' (s15q06_autre). Vérifier si une modalité existante aurait dû être utilisée.</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Il est probable d'avoir un agriculteur dans le ménage de OUSMANE TOURE, prière de reprendre la section agriculture du ménage OUSMANE TOURE.</w:t>
            </w:r>
          </w:p>
        </w:tc>
      </w:tr>
      <w:tr>
        <w:tc>
          <w:tcPr>
            <w:tcW w:type="dxa" w:w="1134"/>
          </w:tcPr>
          <w:p>
            <w:r>
              <w:rPr>
                <w:b/>
                <w:i w:val="0"/>
                <w:color w:val="EA580C"/>
                <w:sz w:val="16"/>
              </w:rPr>
              <w:t>Moyenne</w:t>
            </w:r>
          </w:p>
        </w:tc>
        <w:tc>
          <w:tcPr>
            <w:tcW w:type="dxa" w:w="1361"/>
          </w:tcPr>
          <w:p>
            <w:r>
              <w:rPr>
                <w:b/>
                <w:i w:val="0"/>
                <w:sz w:val="16"/>
              </w:rPr>
              <w:t>S19</w:t>
              <w:br/>
            </w:r>
            <w:r>
              <w:rPr>
                <w:b w:val="0"/>
                <w:i w:val="0"/>
                <w:color w:val="64748B"/>
                <w:sz w:val="14"/>
              </w:rPr>
              <w:t>Entreprises non agricoles</w:t>
            </w:r>
          </w:p>
        </w:tc>
        <w:tc>
          <w:tcPr>
            <w:tcW w:type="dxa" w:w="1361"/>
          </w:tcPr>
          <w:p>
            <w:r>
              <w:rPr>
                <w:b w:val="0"/>
                <w:i w:val="0"/>
                <w:color w:val="64748B"/>
                <w:sz w:val="16"/>
              </w:rPr>
              <w:t>GT-CQ</w:t>
            </w:r>
          </w:p>
        </w:tc>
        <w:tc>
          <w:tcPr>
            <w:tcW w:type="dxa" w:w="5839"/>
          </w:tcPr>
          <w:p>
            <w:r>
              <w:rPr>
                <w:b w:val="0"/>
                <w:i w:val="0"/>
                <w:sz w:val="17"/>
              </w:rPr>
              <w:t>Attention ! Charrettes a été revendu à 50000 Fcfa qui est relativement élevé par rapport aux autres prix de revente observés dans cette zone.</w:t>
            </w:r>
          </w:p>
        </w:tc>
      </w:tr>
      <w:tr>
        <w:tc>
          <w:tcPr>
            <w:tcW w:type="dxa" w:w="1134"/>
          </w:tcPr>
          <w:p>
            <w:r>
              <w:rPr>
                <w:b/>
                <w:i w:val="0"/>
                <w:color w:val="EA580C"/>
                <w:sz w:val="16"/>
              </w:rPr>
              <w:t>Moyenne</w:t>
            </w:r>
          </w:p>
        </w:tc>
        <w:tc>
          <w:tcPr>
            <w:tcW w:type="dxa" w:w="1361"/>
          </w:tcPr>
          <w:p>
            <w:r>
              <w:rPr>
                <w:b/>
                <w:i w:val="0"/>
                <w:sz w:val="16"/>
              </w:rPr>
              <w:t>S19</w:t>
              <w:br/>
            </w:r>
            <w:r>
              <w:rPr>
                <w:b w:val="0"/>
                <w:i w:val="0"/>
                <w:color w:val="64748B"/>
                <w:sz w:val="14"/>
              </w:rPr>
              <w:t>Entreprises non agricoles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S20</w:t>
              <w:br/>
            </w:r>
            <w:r>
              <w:rPr>
                <w:b w:val="0"/>
                <w:i w:val="0"/>
                <w:color w:val="64748B"/>
                <w:sz w:val="14"/>
              </w:rPr>
              <w:t>Gouvernance / autres</w:t>
            </w:r>
          </w:p>
        </w:tc>
        <w:tc>
          <w:tcPr>
            <w:tcW w:type="dxa" w:w="1361"/>
          </w:tcPr>
          <w:p>
            <w:r>
              <w:rPr>
                <w:b w:val="0"/>
                <w:i w:val="0"/>
                <w:color w:val="64748B"/>
                <w:sz w:val="16"/>
              </w:rPr>
              <w:t>GT-CQ</w:t>
            </w:r>
          </w:p>
        </w:tc>
        <w:tc>
          <w:tcPr>
            <w:tcW w:type="dxa" w:w="5839"/>
          </w:tcPr>
          <w:p>
            <w:r>
              <w:rPr>
                <w:b w:val="0"/>
                <w:i w:val="0"/>
                <w:sz w:val="17"/>
              </w:rPr>
              <w:t>Il est donc peu probable qu'il se déclare maintenant comme « Pauvre » ou « Très pauvre ».</w:t>
            </w:r>
          </w:p>
        </w:tc>
      </w:tr>
      <w:tr>
        <w:tc>
          <w:tcPr>
            <w:tcW w:type="dxa" w:w="1134"/>
          </w:tcPr>
          <w:p>
            <w:r>
              <w:rPr>
                <w:b/>
                <w:i w:val="0"/>
                <w:color w:val="EA580C"/>
                <w:sz w:val="16"/>
              </w:rPr>
              <w:t>Moyenne</w:t>
            </w:r>
          </w:p>
        </w:tc>
        <w:tc>
          <w:tcPr>
            <w:tcW w:type="dxa" w:w="1361"/>
          </w:tcPr>
          <w:p>
            <w:r>
              <w:rPr>
                <w:b/>
                <w:i w:val="0"/>
                <w:sz w:val="16"/>
              </w:rPr>
              <w:t>S20</w:t>
              <w:br/>
            </w:r>
            <w:r>
              <w:rPr>
                <w:b w:val="0"/>
                <w:i w:val="0"/>
                <w:color w:val="64748B"/>
                <w:sz w:val="14"/>
              </w:rPr>
              <w:t>Gouvernance / autres</w:t>
            </w:r>
          </w:p>
        </w:tc>
        <w:tc>
          <w:tcPr>
            <w:tcW w:type="dxa" w:w="1361"/>
          </w:tcPr>
          <w:p>
            <w:r>
              <w:rPr>
                <w:b w:val="0"/>
                <w:i w:val="0"/>
                <w:color w:val="64748B"/>
                <w:sz w:val="16"/>
              </w:rPr>
              <w:t>GT-CQ</w:t>
            </w:r>
          </w:p>
        </w:tc>
        <w:tc>
          <w:tcPr>
            <w:tcW w:type="dxa" w:w="5839"/>
          </w:tcPr>
          <w:p>
            <w:r>
              <w:rPr>
                <w:b w:val="0"/>
                <w:i w:val="0"/>
                <w:sz w:val="17"/>
              </w:rPr>
              <w:t>Veuillez confirmer ces informations avec le QG ou apporter les corrections nécessaires.</w:t>
            </w:r>
          </w:p>
        </w:tc>
      </w:tr>
      <w:tr>
        <w:tc>
          <w:tcPr>
            <w:tcW w:type="dxa" w:w="1134"/>
          </w:tcPr>
          <w:p>
            <w:r>
              <w:rPr>
                <w:b/>
                <w:i w:val="0"/>
                <w:color w:val="CA8A04"/>
                <w:sz w:val="16"/>
              </w:rPr>
              <w:t>Faible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Avertissement! Veuillez renseigner par oui ou non toutes les modalités de la question s01q47.</w:t>
            </w:r>
          </w:p>
        </w:tc>
      </w:tr>
      <w:tr>
        <w:tc>
          <w:tcPr>
            <w:tcW w:type="dxa" w:w="1134"/>
          </w:tcPr>
          <w:p>
            <w:r>
              <w:rPr>
                <w:b/>
                <w:i w:val="0"/>
                <w:color w:val="CA8A04"/>
                <w:sz w:val="16"/>
              </w:rPr>
              <w:t>Faible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Avertissement!!!  adama toure  ne possède pas le téléphone android, n'utilise régulièrement pas un téléphone appartenant à une autre personne mais a accès à l'internet, merci de confirmer cette information avec le QG.</w:t>
            </w:r>
          </w:p>
        </w:tc>
      </w:tr>
      <w:tr>
        <w:tc>
          <w:tcPr>
            <w:tcW w:type="dxa" w:w="1134"/>
          </w:tcPr>
          <w:p>
            <w:r>
              <w:rPr>
                <w:b/>
                <w:i w:val="0"/>
                <w:color w:val="CA8A04"/>
                <w:sz w:val="16"/>
              </w:rPr>
              <w:t>Faible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Avertissement!!!  kade boye toure  ne possède pas le téléphone android, n'utilise régulièrement pas un téléphone appartenant à une autre personne mais a accès à l'internet, merci de confirmer cette information avec le QG.</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Généralement les jeunes hommes (10 à 25ans) font des travaux ménager soit apprendre les enfants à reviser leurs léçons ou d'autres cours, adama toure n'a consacré aucune heure pour les travaux cités en s04q01, s04q02, s04q03, s04q04, s04q05, s04q06, s04q07 et s04q08.Prière de regarder pour corriger ou confirmer avec le QG.</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Nombre d'heure (5 heures) que kade boye toure a consacré à son emploi au cours des 7 derniers jours est trop faible, veuillez revoir s'il vous plait ou confirmer cette information avec QG.</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Nombre d'heure (6 heures) que mamadou kante a consacré à son emploi au cours des 7 derniers jours est trop faible, veuillez revoir s'il vous plait ou confirmer cette information avec QG.</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Nombre d'heure (6 heures) que ousmane toure a consacré à son emploi au cours des 7 derniers jours est trop faible, veuillez revoir s'il vous plait ou confirmer cette information avec QG.</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les informations de mamadou kante sur le nombre de mois, jours ou heures de son emploi secondaire sont superieur a celles de son emploi principal , veuillez corriger ou confirmer aupres du QG.</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Le ménage a consommé 14 Paquet Tres petit de Thé (Ataya), cette quantité semble anormale pour une consommation des 7 derniers jours.Prière de corriger ou de confirmer avec le QG.</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le prix unitaire (100 Fcfa) de Thé (Ataya) (unité: Paquet) de taille Tres petit est très faible ou élevé.</w:t>
            </w:r>
          </w:p>
        </w:tc>
      </w:tr>
      <w:tr>
        <w:tc>
          <w:tcPr>
            <w:tcW w:type="dxa" w:w="1134"/>
          </w:tcPr>
          <w:p>
            <w:r>
              <w:rPr>
                <w:b/>
                <w:i w:val="0"/>
                <w:color w:val="CA8A04"/>
                <w:sz w:val="16"/>
              </w:rPr>
              <w:t>Faible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Avertissement!! Le ménage se débarrasse de ses ordures ménagères avec Dépotoir sauvage en milieu urbain,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