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DYMA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DYMA SOW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daga ba est trop jeune ou vielle pour avoir daga ba selon l'écart d'âge (12 ans) entre lui et sa mère, prière de revoir l'âge de daga ba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ba1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ndama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dieyna ba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DYMA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DYMA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ahmet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daga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saly ba n'a pas fait des études dans une école formelle est elle n’avait pas un extrait de naissance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syra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(504000 Fcfa) de awa ba1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montant(100000 FCFA) des dépenses liées à l'accouchement de syra ba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montant(12500 FCFA) des dépenses pour chaque visite prénatale de syra ba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montant(200000 FCFA) des dépenses liées à l'accouchement de awa dieng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montant(10250 FCFA) des dépenses pour chaque visite prénatale de awa dieng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abba ka a eu est probleme auditive  et des maux de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 ka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sadio ba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saly ba a eu est crise epilepsie,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awa ba1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DYMA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fatou ka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ba1 (5450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DYMA SOW (266500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DYMA SOW (400000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(5000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(8000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(11250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(12000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chez leur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transformations des produits laitiers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Le montant renseigné doit être supérieur à 0.</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DYMA SOW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ba1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ka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Farine de blé locale ou importée,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