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 AMI LAM) , prière de renseigner toutes les questions liées à  MARIA AMI LAM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 AMI LAM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LAM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 FILOMENE LAM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LAM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VIEUX MAMADOU LAM a dit que son père a un niveau Aucun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VIEUX MAMADOU LAM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 AMI LAM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SOULEYMANE LAM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recharges internet ou de forfaits de données mobiles(hors appels vocaux), aucours des 30 derniers jours de  SOULEYMANE LAM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NDEYE DIOP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LAM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 FILOMENE LAM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LAM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VIEUX MAMADOU LAM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LAM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 FILOMENE LAM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 AMI LAM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MARIA AMI LAM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LAM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NDEYE LAM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VIEUX MAMADOU LAM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( 14500 FCFA) payée de VIEUX MAMADOU LAM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(72000 Fcfa) de MARI FILOMENE LAM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VIEUX MAMADOU LAM a eu est Déchirure,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SEYNABOU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(Tres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SOULEYMANE LAM avec une taille de 7 personnes a consommé 14 Sachets en Petit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SOULEYMANE LAM (40000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(25000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(10000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(7000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(105000 Fcfa) au cours de 30 derniers jours de Tickect/service de péage urbain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(320000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(320000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(65000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(75000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Guide Touristique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revendu à 350000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pestation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SOULEYMANE LAM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 FILOMENE LAM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 AMI LAM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