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diakhate ignore son année de naissance mais declare l'âge qu'il avait à son dernier anniverssaireLa taille du ménage lors de l'enquête principale (7) de ce ménage est inférieur à la taille du denombrement (9),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malick diakhate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fatou diakhate est trop jeune (9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fatou diakhate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djiby diakhate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diakhate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diakhate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( 22000 FCFA) de fatou diakhate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gnagna ndior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issa diakhate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issa diakhate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diakhate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( 14500 FCFA) payée de malick diakhate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montant(161000 FCFA) des frais d'examens médicaux et des soins de fatou diouf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fatou diakhate a eu est maux de tete,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gnagna ndior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malick diakhate a eu est maux de tete,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malick diakhate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gnagna ndior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gnagna ndior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Mamadou diakhate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MOMADOU DIAKHATE (9450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(8000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(12000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(84000 Fcfa) pour Bois de chauffe acheté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(84000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(150 Fcfa) pour Autres services récréatifs: services de photographe (développement, tirage), photo d'identité, etc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(120000 Fcfa) au cours de 12 derniers mois de Frais de connexion au réseau de distribution d'eau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a domisile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(19000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manioc selon l'exploitant est de 50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manioc selon les mesures GPS est de .0073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poucentage de la surface récoltée est de 90% et celui de la superficie plantée est de 100%.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En 16C.13 vous dites que 90% n'est pas plus petite que la surface plantée 100%, c'est-à-dire NON en 16C.13.</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Manioc.</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Herse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issa diakhate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fatou diakhate fréquente 3ème année de Primaire mais ne sait pas écrire, prière de vérifier auprès de fatou diakhate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djiby diakhate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