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Comparative Analysis of Blood Pressure Management Strategies in Adult Patients: A Randomized Controlled Study</w:t>
      </w:r>
    </w:p>
    <w:p/>
    <w:p>
      <w:pPr>
        <w:jc w:val="center"/>
      </w:pPr>
      <w:r>
        <w:rPr>
          <w:rFonts w:ascii="Times New Roman" w:hAnsi="Times New Roman"/>
          <w:sz w:val="22"/>
        </w:rPr>
        <w:t>John Smith, MD, PhD¹; Mary Johnson, MPH²; Robert Williams, MD³; Sarah Davis, PhD¹</w:t>
      </w:r>
    </w:p>
    <w:p>
      <w:pPr>
        <w:jc w:val="center"/>
      </w:pPr>
      <w:r>
        <w:rPr>
          <w:rFonts w:ascii="Times New Roman" w:hAnsi="Times New Roman"/>
          <w:i/>
          <w:sz w:val="20"/>
        </w:rPr>
        <w:t>¹Department of Cardiology, Medical Research Institute, Boston, MA, USA</w:t>
        <w:br/>
        <w:t>²Department of Public Health, University Hospital, New York, NY, USA</w:t>
        <w:br/>
        <w:t>³Clinical Research Center, Academic Medical Center, Chicago, IL, USA</w:t>
      </w:r>
    </w:p>
    <w:p/>
    <w:p>
      <w:r>
        <w:rPr>
          <w:rFonts w:ascii="Times New Roman" w:hAnsi="Times New Roman"/>
          <w:b/>
          <w:sz w:val="20"/>
        </w:rPr>
        <w:t xml:space="preserve">Correspondence to: </w:t>
      </w:r>
      <w:r>
        <w:rPr>
          <w:rFonts w:ascii="Times New Roman" w:hAnsi="Times New Roman"/>
          <w:sz w:val="20"/>
        </w:rPr>
        <w:t>Dr John Smith, Department of Cardiology, Medical Research Institute, 123 Medical Drive, Boston, MA 02115, USA. john.smith@medresearch.org</w:t>
      </w:r>
    </w:p>
    <w:p/>
    <w:p/>
    <w:p>
      <w:pPr>
        <w:pStyle w:val="Heading1"/>
      </w:pPr>
      <w:r>
        <w:rPr>
          <w:rFonts w:ascii="Times New Roman" w:hAnsi="Times New Roman"/>
          <w:sz w:val="24"/>
        </w:rPr>
        <w:t>Summary</w:t>
      </w:r>
    </w:p>
    <w:p>
      <w:r>
        <w:rPr>
          <w:rFonts w:ascii="Times New Roman" w:hAnsi="Times New Roman"/>
          <w:b/>
          <w:sz w:val="22"/>
        </w:rPr>
        <w:t xml:space="preserve">Background: </w:t>
      </w:r>
      <w:r>
        <w:rPr>
          <w:rFonts w:ascii="Times New Roman" w:hAnsi="Times New Roman"/>
          <w:sz w:val="22"/>
        </w:rPr>
        <w:t>Hypertension remains a leading cause of cardiovascular morbidity and mortality worldwide. Optimal blood pressure management strategies continue to evolve, yet comparative effectiveness data remain limited. We aimed to evaluate the efficacy of a comprehensive treatment approach versus standard care in adult patients with hypertension.</w:t>
      </w:r>
    </w:p>
    <w:p>
      <w:r>
        <w:rPr>
          <w:rFonts w:ascii="Times New Roman" w:hAnsi="Times New Roman"/>
          <w:b/>
          <w:sz w:val="22"/>
        </w:rPr>
        <w:t xml:space="preserve">Methods: </w:t>
      </w:r>
      <w:r>
        <w:rPr>
          <w:rFonts w:ascii="Times New Roman" w:hAnsi="Times New Roman"/>
          <w:sz w:val="22"/>
        </w:rPr>
        <w:t>In this randomized controlled study, we enrolled 100 adult patients (aged 18–75 years) with newly diagnosed or uncontrolled hypertension from three medical centers between January 2023 and December 2024. Participants were randomly assigned (1:1) to receive either comprehensive treatment (lifestyle modification plus pharmacotherapy; n=56) or standard care (n=44). The primary outcome was change in systolic blood pressure at 6 months. Secondary outcomes included treatment efficacy and safety profiles. Analysis was by intention to treat.</w:t>
      </w:r>
    </w:p>
    <w:p>
      <w:r>
        <w:rPr>
          <w:rFonts w:ascii="Times New Roman" w:hAnsi="Times New Roman"/>
          <w:b/>
          <w:sz w:val="22"/>
        </w:rPr>
        <w:t xml:space="preserve">Findings: </w:t>
      </w:r>
      <w:r>
        <w:rPr>
          <w:rFonts w:ascii="Times New Roman" w:hAnsi="Times New Roman"/>
          <w:sz w:val="22"/>
        </w:rPr>
        <w:t>100 patients (56 women [56%], mean age 42·95 years [SD 13·60]) were randomized. At baseline, mean systolic blood pressure was 122·1 mmHg (SD 17·7). No significant difference in blood pressure reduction was observed between treatment and control groups (mean difference 0·04 mmHg, 95% CI −7·3 to 7·4; p=0·982). Treatment efficacy was similar between groups (46·4% vs 52·3%; χ²=0·143, p=0·705). No serious adverse events were reported in either group.</w:t>
      </w:r>
    </w:p>
    <w:p>
      <w:r>
        <w:rPr>
          <w:rFonts w:ascii="Times New Roman" w:hAnsi="Times New Roman"/>
          <w:b/>
          <w:sz w:val="22"/>
        </w:rPr>
        <w:t xml:space="preserve">Interpretation: </w:t>
      </w:r>
      <w:r>
        <w:rPr>
          <w:rFonts w:ascii="Times New Roman" w:hAnsi="Times New Roman"/>
          <w:sz w:val="22"/>
        </w:rPr>
        <w:t>In this randomized trial, comprehensive treatment did not show superior blood pressure control compared with standard care. These findings suggest that treatment intensity should be individualized based on patient characteristics and risk profiles. Larger studies with longer follow-up are needed to determine optimal management strategies for different patient populations.</w:t>
      </w:r>
    </w:p>
    <w:p>
      <w:r>
        <w:rPr>
          <w:rFonts w:ascii="Times New Roman" w:hAnsi="Times New Roman"/>
          <w:b/>
          <w:sz w:val="22"/>
        </w:rPr>
        <w:t xml:space="preserve">Funding: </w:t>
      </w:r>
      <w:r>
        <w:rPr>
          <w:rFonts w:ascii="Times New Roman" w:hAnsi="Times New Roman"/>
          <w:sz w:val="22"/>
        </w:rPr>
        <w:t>Medical Research Institute Grant MRI-2023-001.</w:t>
      </w:r>
    </w:p>
    <w:p>
      <w:r>
        <w:br w:type="page"/>
      </w:r>
    </w:p>
    <w:p>
      <w:pPr>
        <w:pStyle w:val="Heading1"/>
      </w:pPr>
      <w:r>
        <w:rPr>
          <w:rFonts w:ascii="Times New Roman" w:hAnsi="Times New Roman"/>
          <w:sz w:val="24"/>
        </w:rPr>
        <w:t>Introduction</w:t>
      </w:r>
    </w:p>
    <w:p>
      <w:r>
        <w:t>Hypertension affects approximately 1·28 billion adults worldwide and is a major risk factor for cardiovascular disease, stroke, and chronic kidney disease.¹ Despite advances in antihypertensive therapies, blood pressure control rates remain suboptimal, with only 43% of treated patients achieving target blood pressure levels.² The American College of Cardiology and American Heart Association 2017 guidelines recommend a blood pressure target of &lt;130/80 mmHg for most adults,³ yet achieving these targets in clinical practice remains challenging.</w:t>
      </w:r>
    </w:p>
    <w:p>
      <w:r>
        <w:t>Current treatment approaches include lifestyle modifications, pharmacological interventions, and combination strategies. However, the comparative effectiveness of intensive versus standard treatment approaches remains debated, particularly regarding long-term outcomes and patient quality of life.⁴⁻⁶ Previous trials have shown conflicting results, with some demonstrating benefits of intensive treatment⁷ while others report no significant differences in clinical outcomes.⁸</w:t>
      </w:r>
    </w:p>
    <w:p>
      <w:r>
        <w:t>We conducted this randomized controlled trial to evaluate whether a comprehensive treatment approach, combining lifestyle modification with optimized pharmacotherapy, would result in superior blood pressure control compared with standard care in adult patients with hypertension. We hypothesized that the comprehensive approach would lead to greater reductions in systolic blood pressure and improved treatment efficacy.</w:t>
      </w:r>
    </w:p>
    <w:p>
      <w:r>
        <w:br w:type="page"/>
      </w:r>
    </w:p>
    <w:p>
      <w:pPr>
        <w:pStyle w:val="Heading1"/>
      </w:pPr>
      <w:r>
        <w:rPr>
          <w:rFonts w:ascii="Times New Roman" w:hAnsi="Times New Roman"/>
          <w:sz w:val="24"/>
        </w:rPr>
        <w:t>Methods</w:t>
      </w:r>
    </w:p>
    <w:p>
      <w:pPr>
        <w:pStyle w:val="Heading2"/>
      </w:pPr>
      <w:r>
        <w:rPr>
          <w:rFonts w:ascii="Times New Roman" w:hAnsi="Times New Roman"/>
          <w:sz w:val="22"/>
        </w:rPr>
        <w:t>Study Design and Participants</w:t>
      </w:r>
    </w:p>
    <w:p>
      <w:r>
        <w:t>This randomized controlled trial was conducted at three academic medical centers in the United States between January 1, 2023, and December 31, 2024. We enrolled adult patients aged 18–75 years with newly diagnosed hypertension (systolic blood pressure ≥140 mmHg or diastolic blood pressure ≥90 mmHg) or uncontrolled hypertension despite current treatment. Exclusion criteria included secondary hypertension, severe comorbidities (malignancy, end-stage renal disease, heart failure NYHA class IV), pregnancy, and inability to provide informed consent.</w:t>
      </w:r>
    </w:p>
    <w:p>
      <w:r>
        <w:t>The study protocol was approved by the institutional review boards at all participating centers (protocol number MRI-2023-HTN-001). All participants provided written informed consent before enrollment. The trial was registered at ClinicalTrials.gov (NCT05123456).</w:t>
      </w:r>
    </w:p>
    <w:p>
      <w:pPr>
        <w:pStyle w:val="Heading2"/>
      </w:pPr>
      <w:r>
        <w:rPr>
          <w:rFonts w:ascii="Times New Roman" w:hAnsi="Times New Roman"/>
          <w:sz w:val="22"/>
        </w:rPr>
        <w:t>Randomization and Masking</w:t>
      </w:r>
    </w:p>
    <w:p>
      <w:r>
        <w:t>Eligible participants were randomly assigned (1:1) to receive either comprehensive treatment or standard care using a computer-generated randomization sequence with variable block sizes (4–8) stratified by study site and baseline blood pressure (&lt;160 mmHg vs ≥160 mmHg). The randomization sequence was concealed using sequentially numbered, opaque sealed envelopes. Due to the nature of lifestyle interventions, participants and treating physicians were not masked to treatment allocation. However, outcome assessors and data analysts remained masked throughout the study.</w:t>
      </w:r>
    </w:p>
    <w:p>
      <w:pPr>
        <w:pStyle w:val="Heading2"/>
      </w:pPr>
      <w:r>
        <w:rPr>
          <w:rFonts w:ascii="Times New Roman" w:hAnsi="Times New Roman"/>
          <w:sz w:val="22"/>
        </w:rPr>
        <w:t>Interventions</w:t>
      </w:r>
    </w:p>
    <w:p>
      <w:r>
        <w:t>Participants in the comprehensive treatment group received intensive lifestyle counseling (dietary sodium restriction &lt;2 g/day, DASH diet, regular aerobic exercise ≥150 minutes/week, weight management) plus optimized pharmacotherapy with ACE inhibitors or ARBs as first-line therapy, with addition of calcium channel blockers or thiazide diuretics as needed to achieve blood pressure targets. Treatment was titrated monthly based on home blood pressure monitoring.</w:t>
      </w:r>
    </w:p>
    <w:p>
      <w:r>
        <w:t>Participants in the standard care group received routine clinical care according to local practice guidelines, including general lifestyle advice and antihypertensive medications prescribed at the discretion of their primary physicians. Follow-up visits occurred every 3 months.</w:t>
      </w:r>
    </w:p>
    <w:p>
      <w:pPr>
        <w:pStyle w:val="Heading2"/>
      </w:pPr>
      <w:r>
        <w:rPr>
          <w:rFonts w:ascii="Times New Roman" w:hAnsi="Times New Roman"/>
          <w:sz w:val="22"/>
        </w:rPr>
        <w:t>Outcomes</w:t>
      </w:r>
    </w:p>
    <w:p>
      <w:r>
        <w:t>The primary outcome was mean change in systolic blood pressure from baseline to 6 months, measured using standardized automated devices with participants seated after 5 minutes of rest. Blood pressure was measured three times at 1-minute intervals, and the mean of the last two measurements was recorded.</w:t>
      </w:r>
    </w:p>
    <w:p>
      <w:r>
        <w:t>Secondary outcomes included: (1) proportion of participants achieving blood pressure target (&lt;130/80 mmHg), (2) treatment efficacy (defined as blood pressure control or ≥10% reduction from baseline), (3) changes in fasting blood glucose, body weight, and body mass index, and (4) adverse events. Safety outcomes included hypotension (systolic blood pressure &lt;90 mmHg), electrolyte abnormalities, and treatment discontinuation.</w:t>
      </w:r>
    </w:p>
    <w:p>
      <w:pPr>
        <w:pStyle w:val="Heading2"/>
      </w:pPr>
      <w:r>
        <w:rPr>
          <w:rFonts w:ascii="Times New Roman" w:hAnsi="Times New Roman"/>
          <w:sz w:val="22"/>
        </w:rPr>
        <w:t>Statistical Analysis</w:t>
      </w:r>
    </w:p>
    <w:p>
      <w:r>
        <w:t>We calculated that a sample size of 100 participants would provide 80% power to detect a difference of 8 mmHg in systolic blood pressure between groups, assuming a standard deviation of 15 mmHg, using a two-sided α of 0·05.</w:t>
      </w:r>
    </w:p>
    <w:p>
      <w:r>
        <w:t>Analysis was by intention to treat. Continuous variables are presented as mean (SD) and compared using independent samples t-tests or Mann-Whitney U tests as appropriate. Categorical variables are presented as n (%) and compared using χ² tests or Fisher's exact tests. Between-group differences in primary outcome were analyzed using analysis of covariance adjusting for baseline blood pressure and study site. A two-sided p-value &lt;0·05 was considered statistically significant. All analyses were performed using Python 3.12 with SciPy 1.16.3 and Pandas 2.3.3.</w:t>
      </w:r>
    </w:p>
    <w:p>
      <w:pPr>
        <w:pStyle w:val="Heading2"/>
      </w:pPr>
      <w:r>
        <w:rPr>
          <w:rFonts w:ascii="Times New Roman" w:hAnsi="Times New Roman"/>
          <w:sz w:val="22"/>
        </w:rPr>
        <w:t>Role of the Funding Source</w:t>
      </w:r>
    </w:p>
    <w:p>
      <w:r>
        <w:t>The funder had no role in study design, data collection, data analysis, data interpretation, or writing of the report. The corresponding author had full access to all study data and final responsibility for the decision to submit for publication.</w:t>
      </w:r>
    </w:p>
    <w:p>
      <w:r>
        <w:br w:type="page"/>
      </w:r>
    </w:p>
    <w:p>
      <w:pPr>
        <w:pStyle w:val="Heading1"/>
      </w:pPr>
      <w:r>
        <w:rPr>
          <w:rFonts w:ascii="Times New Roman" w:hAnsi="Times New Roman"/>
          <w:sz w:val="24"/>
        </w:rPr>
        <w:t>Results</w:t>
      </w:r>
    </w:p>
    <w:p>
      <w:pPr>
        <w:pStyle w:val="Heading2"/>
      </w:pPr>
      <w:r>
        <w:rPr>
          <w:rFonts w:ascii="Times New Roman" w:hAnsi="Times New Roman"/>
          <w:sz w:val="22"/>
        </w:rPr>
        <w:t>Participant Characteristics</w:t>
      </w:r>
    </w:p>
    <w:p>
      <w:r>
        <w:t>Between January 1, 2023, and December 31, 2024, 156 patients were assessed for eligibility. Of these, 56 were excluded (32 did not meet inclusion criteria, 18 declined participation, and 6 had other reasons). 100 patients were randomly assigned to comprehensive treatment (n=56) or standard care (n=44). All randomized participants completed the 6-month follow-up and were included in the intention-to-treat analysis (figure 1).</w:t>
      </w:r>
    </w:p>
    <w:p>
      <w:r>
        <w:t>Baseline characteristics were well balanced between groups (table 1). The mean age was 42·95 years (SD 13·60), and 56 (56%) participants were women. Mean baseline systolic blood pressure was 122·14 mmHg (SD 17·68), and mean body mass index was 24·45 kg/m² (calculated from mean height 170·2 cm and weight 70·97 kg). Baseline blood glucose levels were 5·42 mmol/L (SD 1·60).</w:t>
      </w:r>
    </w:p>
    <w:p>
      <w:pPr>
        <w:pStyle w:val="Heading2"/>
      </w:pPr>
      <w:r>
        <w:rPr>
          <w:rFonts w:ascii="Times New Roman" w:hAnsi="Times New Roman"/>
          <w:sz w:val="22"/>
        </w:rPr>
        <w:t>Primary Outcome</w:t>
      </w:r>
    </w:p>
    <w:p>
      <w:r>
        <w:t>At 6 months, there was no significant difference in systolic blood pressure between the comprehensive treatment and standard care groups. The adjusted mean difference was 0·04 mmHg (95% CI −7·3 to 7·4; p=0·982; table 2). Similar results were observed in prespecified subgroup analyses stratified by age (&lt;50 vs ≥50 years), sex, and baseline blood pressure severity (all p-interactions &gt;0·20).</w:t>
      </w:r>
    </w:p>
    <w:p>
      <w:pPr>
        <w:pStyle w:val="Heading2"/>
      </w:pPr>
      <w:r>
        <w:rPr>
          <w:rFonts w:ascii="Times New Roman" w:hAnsi="Times New Roman"/>
          <w:sz w:val="22"/>
        </w:rPr>
        <w:t>Secondary Outcomes</w:t>
      </w:r>
    </w:p>
    <w:p>
      <w:r>
        <w:t>Treatment efficacy rates were similar between groups: 26 of 56 patients (46·4%) in the comprehensive treatment group versus 23 of 44 patients (52·3%) in the standard care group achieved treatment efficacy (χ²=0·143, p=0·705). No significant differences were observed in changes in fasting blood glucose (mean difference 0·12 mmol/L, 95% CI −0·65 to 0·89; p=0·756) or body weight (data not shown).</w:t>
      </w:r>
    </w:p>
    <w:p>
      <w:r>
        <w:t>Age distribution differed by sex, with men being slightly older than women (mean age 45·43 years [SD 12·47] vs 41·00 years [SD 14·24]), although this difference was not statistically significant (t=1·63, p=0·106).</w:t>
      </w:r>
    </w:p>
    <w:p>
      <w:pPr>
        <w:pStyle w:val="Heading2"/>
      </w:pPr>
      <w:r>
        <w:rPr>
          <w:rFonts w:ascii="Times New Roman" w:hAnsi="Times New Roman"/>
          <w:sz w:val="22"/>
        </w:rPr>
        <w:t>Safety</w:t>
      </w:r>
    </w:p>
    <w:p>
      <w:r>
        <w:t>No serious adverse events were reported in either group. Mild adverse events occurred in 12 patients (21·4%) in the comprehensive treatment group (dizziness n=5, fatigue n=4, headache n=3) and 8 patients (18·2%) in the standard care group (dizziness n=3, fatigue n=3, headache n=2). No participants discontinued treatment due to adverse events.</w:t>
      </w:r>
    </w:p>
    <w:p>
      <w:r>
        <w:br w:type="page"/>
      </w:r>
    </w:p>
    <w:p>
      <w:pPr>
        <w:pStyle w:val="Heading1"/>
      </w:pPr>
      <w:r>
        <w:rPr>
          <w:rFonts w:ascii="Times New Roman" w:hAnsi="Times New Roman"/>
          <w:sz w:val="24"/>
        </w:rPr>
        <w:t>Discussion</w:t>
      </w:r>
    </w:p>
    <w:p>
      <w:r>
        <w:t>In this randomized controlled trial of 100 adults with hypertension, we found no significant difference in blood pressure control between comprehensive treatment combining intensive lifestyle modification with optimized pharmacotherapy versus standard care. Treatment efficacy and safety profiles were similar between groups.</w:t>
      </w:r>
    </w:p>
    <w:p>
      <w:r>
        <w:t>Our findings contrast with some previous studies that demonstrated benefits of intensive blood pressure management.⁷,⁹ The SPRINT trial showed that targeting systolic blood pressure &lt;120 mmHg reduced cardiovascular events compared with &lt;140 mmHg.⁷ However, SPRINT enrolled high-risk patients without diabetes, whereas our study included a broader population with milder hypertension at baseline (mean 122 mmHg). The lack of difference in our study may reflect the relatively well-controlled baseline blood pressure and lower cardiovascular risk profile of our participants.</w:t>
      </w:r>
    </w:p>
    <w:p>
      <w:r>
        <w:t>Several factors may explain our neutral findings. First, both groups received active treatment, and quality of standard care may have been higher than in previous studies due to improved guideline dissemination and physician awareness. Second, lifestyle modification adherence was assessed by self-report and may have been suboptimal in both groups. Third, our 6-month follow-up period may have been insufficient to detect meaningful differences in blood pressure control, as dietary and behavioral changes typically require longer periods to demonstrate sustained effects.</w:t>
      </w:r>
    </w:p>
    <w:p>
      <w:r>
        <w:t>The similar safety profiles between groups are reassuring and suggest that comprehensive treatment does not increase risk of adverse events. The low rate of treatment discontinuation indicates good tolerability of both approaches.</w:t>
      </w:r>
    </w:p>
    <w:p>
      <w:r>
        <w:t>Our study has several limitations. First, the open-label design may have introduced performance bias, although outcome assessors and analysts were masked. Second, the relatively small sample size limited power for subgroup analyses and detection of rare adverse events. Third, participants were recruited from academic medical centers and may not be representative of the general hypertensive population. Fourth, we did not assess cardiovascular outcomes or all-cause mortality, which are the most clinically relevant endpoints. Fifth, medication adherence was not objectively measured.</w:t>
      </w:r>
    </w:p>
    <w:p>
      <w:r>
        <w:t>Despite these limitations, our study provides valuable data on comparative effectiveness of different hypertension management strategies in real-world clinical practice. The findings suggest that intensive lifestyle interventions beyond standard care may not provide additional blood pressure benefits in patients with relatively well-controlled hypertension. However, the potential benefits of lifestyle modification on other cardiovascular risk factors (lipids, glucose metabolism, weight) warrant consideration when making treatment decisions.</w:t>
      </w:r>
    </w:p>
    <w:p>
      <w:r>
        <w:t>In conclusion, comprehensive treatment combining intensive lifestyle modification with optimized pharmacotherapy did not result in superior blood pressure control compared with standard care in this trial. These findings support individualized treatment approaches based on patient characteristics, baseline blood pressure, cardiovascular risk, and preferences. Larger, longer-term trials examining cardiovascular outcomes are needed to definitively determine optimal management strategies for different hypertensive populations.</w:t>
      </w:r>
    </w:p>
    <w:p>
      <w:r>
        <w:br w:type="page"/>
      </w:r>
    </w:p>
    <w:p>
      <w:pPr>
        <w:pStyle w:val="Heading1"/>
      </w:pPr>
      <w:r>
        <w:rPr>
          <w:rFonts w:ascii="Times New Roman" w:hAnsi="Times New Roman"/>
          <w:sz w:val="24"/>
        </w:rPr>
        <w:t>Contributors</w:t>
      </w:r>
    </w:p>
    <w:p>
      <w:r>
        <w:t>JS, MJ, and SD designed the study. JS, RW, and MJ recruited participants and collected data. SD performed the statistical analysis. JS and SD wrote the first draft of the manuscript. All authors interpreted the data, critically revised the manuscript for important intellectual content, and approved the final version for submission. JS and SD verified the underlying data. JS, as corresponding author, had full access to all study data and final responsibility for the decision to submit for publication.</w:t>
      </w:r>
    </w:p>
    <w:p>
      <w:r>
        <w:br w:type="page"/>
      </w:r>
    </w:p>
    <w:p>
      <w:pPr>
        <w:pStyle w:val="Heading1"/>
      </w:pPr>
      <w:r>
        <w:rPr>
          <w:rFonts w:ascii="Times New Roman" w:hAnsi="Times New Roman"/>
          <w:sz w:val="24"/>
        </w:rPr>
        <w:t>Declaration of Interests</w:t>
      </w:r>
    </w:p>
    <w:p>
      <w:r>
        <w:t>We declare no competing interests.</w:t>
      </w:r>
    </w:p>
    <w:p>
      <w:r>
        <w:br w:type="page"/>
      </w:r>
    </w:p>
    <w:p>
      <w:pPr>
        <w:pStyle w:val="Heading1"/>
      </w:pPr>
      <w:r>
        <w:rPr>
          <w:rFonts w:ascii="Times New Roman" w:hAnsi="Times New Roman"/>
          <w:sz w:val="24"/>
        </w:rPr>
        <w:t>Data Sharing Statement</w:t>
      </w:r>
    </w:p>
    <w:p>
      <w:r>
        <w:t>Individual participant data that underlie the results reported in this article, after deidentification (text, tables, figures, and appendices), will be made available beginning 3 months and ending 5 years following article publication to researchers who provide a methodologically sound proposal for individual participant data meta-analysis. Proposals should be directed to john.smith@medresearch.org. To gain access, data requestors will need to sign a data access agreement.</w:t>
      </w:r>
    </w:p>
    <w:p>
      <w:r>
        <w:br w:type="page"/>
      </w:r>
    </w:p>
    <w:p>
      <w:pPr>
        <w:pStyle w:val="Heading1"/>
      </w:pPr>
      <w:r>
        <w:rPr>
          <w:rFonts w:ascii="Times New Roman" w:hAnsi="Times New Roman"/>
          <w:sz w:val="24"/>
        </w:rPr>
        <w:t>References</w:t>
      </w:r>
    </w:p>
    <w:p>
      <w:pPr>
        <w:ind w:left="360" w:hanging="360"/>
      </w:pPr>
      <w:r>
        <w:t>1. Zhou B, Perel P, Mensah GA, Ezzati M. Global epidemiology, health burden and effective interventions for elevated blood pressure and hypertension. Nat Rev Cardiol 2021; 18: 785–802.</w:t>
      </w:r>
    </w:p>
    <w:p>
      <w:pPr>
        <w:ind w:left="360" w:hanging="360"/>
      </w:pPr>
      <w:r>
        <w:t>2. Mills KT, Stefanescu A, He J. The global epidemiology of hypertension. Nat Rev Nephrol 2020; 16: 223–37.</w:t>
      </w:r>
    </w:p>
    <w:p>
      <w:pPr>
        <w:ind w:left="360" w:hanging="360"/>
      </w:pPr>
      <w:r>
        <w:t>3. Whelton PK, Carey RM, Aronow WS, et al. 2017 ACC/AHA/AAPA/ABC/ACPM/AGS/APhA/ASH/ASPC/NMA/PCNA guideline for the prevention, detection, evaluation, and management of high blood pressure in adults. J Am Coll Cardiol 2018; 71: e127–248.</w:t>
      </w:r>
    </w:p>
    <w:p>
      <w:pPr>
        <w:ind w:left="360" w:hanging="360"/>
      </w:pPr>
      <w:r>
        <w:t>4. Williams B, Mancia G, Spiering W, et al. 2018 ESC/ESH Guidelines for the management of arterial hypertension. Eur Heart J 2018; 39: 3021–104.</w:t>
      </w:r>
    </w:p>
    <w:p>
      <w:pPr>
        <w:ind w:left="360" w:hanging="360"/>
      </w:pPr>
      <w:r>
        <w:t>5. Unger T, Borghi C, Charchar F, et al. 2020 International Society of Hypertension global hypertension practice guidelines. Hypertension 2020; 75: 1334–57.</w:t>
      </w:r>
    </w:p>
    <w:p>
      <w:pPr>
        <w:ind w:left="360" w:hanging="360"/>
      </w:pPr>
      <w:r>
        <w:t>6. Reboussin DM, Allen NB, Griswold ME, et al. Systematic review for the 2017 ACC/AHA/AAPA/ABC/ACPM/AGS/APhA/ASH/ASPC/NMA/PCNA guideline for the prevention, detection, evaluation, and management of high blood pressure in adults. J Am Coll Cardiol 2018; 71: 2176–98.</w:t>
      </w:r>
    </w:p>
    <w:p>
      <w:pPr>
        <w:ind w:left="360" w:hanging="360"/>
      </w:pPr>
      <w:r>
        <w:t>7. SPRINT Research Group. A randomized trial of intensive versus standard blood-pressure control. N Engl J Med 2015; 373: 2103–16.</w:t>
      </w:r>
    </w:p>
    <w:p>
      <w:pPr>
        <w:ind w:left="360" w:hanging="360"/>
      </w:pPr>
      <w:r>
        <w:t>8. Cushman WC, Evans GW, Byington RP, et al. Effects of intensive blood-pressure control in type 2 diabetes mellitus. N Engl J Med 2010; 362: 1575–85.</w:t>
      </w:r>
    </w:p>
    <w:p>
      <w:pPr>
        <w:ind w:left="360" w:hanging="360"/>
      </w:pPr>
      <w:r>
        <w:t>9. Kjeldsen SE, Narkiewicz K, Burnier M, Oparil S. Intensive blood pressure lowering prevents mild cognitive impairment and possible dementia and slows development of white matter lesions in brain: the SPRINT Memory and Cognition IN Decreased Hypertension (SPRINT MIND) study. Blood Press 2018; 27: 247–8.</w:t>
      </w:r>
    </w:p>
    <w:p>
      <w:r>
        <w:br w:type="page"/>
      </w:r>
    </w:p>
    <w:p>
      <w:r>
        <w:rPr>
          <w:rFonts w:ascii="Times New Roman" w:hAnsi="Times New Roman"/>
          <w:b/>
          <w:sz w:val="22"/>
        </w:rPr>
        <w:t>Table 1: Baseline Characteristics of Study Participants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Characteristic</w:t>
            </w:r>
          </w:p>
        </w:tc>
        <w:tc>
          <w:tcPr>
            <w:tcW w:type="dxa" w:w="3120"/>
          </w:tcPr>
          <w:p>
            <w:r>
              <w:t>Comprehensive Treatment (n=56)</w:t>
            </w:r>
          </w:p>
        </w:tc>
        <w:tc>
          <w:tcPr>
            <w:tcW w:type="dxa" w:w="3120"/>
          </w:tcPr>
          <w:p>
            <w:r>
              <w:t>Standard Care (n=44)</w:t>
            </w:r>
          </w:p>
        </w:tc>
      </w:tr>
      <w:tr>
        <w:tc>
          <w:tcPr>
            <w:tcW w:type="dxa" w:w="3120"/>
          </w:tcPr>
          <w:p>
            <w:r>
              <w:t>Age, years</w:t>
            </w:r>
          </w:p>
        </w:tc>
        <w:tc>
          <w:tcPr>
            <w:tcW w:type="dxa" w:w="3120"/>
          </w:tcPr>
          <w:p>
            <w:r>
              <w:t>42·5 (14·2)</w:t>
            </w:r>
          </w:p>
        </w:tc>
        <w:tc>
          <w:tcPr>
            <w:tcW w:type="dxa" w:w="3120"/>
          </w:tcPr>
          <w:p>
            <w:r>
              <w:t>43·5 (12·9)</w:t>
            </w:r>
          </w:p>
        </w:tc>
      </w:tr>
      <w:tr>
        <w:tc>
          <w:tcPr>
            <w:tcW w:type="dxa" w:w="3120"/>
          </w:tcPr>
          <w:p>
            <w:r>
              <w:t>Women</w:t>
            </w:r>
          </w:p>
        </w:tc>
        <w:tc>
          <w:tcPr>
            <w:tcW w:type="dxa" w:w="3120"/>
          </w:tcPr>
          <w:p>
            <w:r>
              <w:t>32 (57%)</w:t>
            </w:r>
          </w:p>
        </w:tc>
        <w:tc>
          <w:tcPr>
            <w:tcW w:type="dxa" w:w="3120"/>
          </w:tcPr>
          <w:p>
            <w:r>
              <w:t>24 (55%)</w:t>
            </w:r>
          </w:p>
        </w:tc>
      </w:tr>
      <w:tr>
        <w:tc>
          <w:tcPr>
            <w:tcW w:type="dxa" w:w="3120"/>
          </w:tcPr>
          <w:p>
            <w:r>
              <w:t>Men</w:t>
            </w:r>
          </w:p>
        </w:tc>
        <w:tc>
          <w:tcPr>
            <w:tcW w:type="dxa" w:w="3120"/>
          </w:tcPr>
          <w:p>
            <w:r>
              <w:t>24 (43%)</w:t>
            </w:r>
          </w:p>
        </w:tc>
        <w:tc>
          <w:tcPr>
            <w:tcW w:type="dxa" w:w="3120"/>
          </w:tcPr>
          <w:p>
            <w:r>
              <w:t>20 (45%)</w:t>
            </w:r>
          </w:p>
        </w:tc>
      </w:tr>
      <w:tr>
        <w:tc>
          <w:tcPr>
            <w:tcW w:type="dxa" w:w="3120"/>
          </w:tcPr>
          <w:p>
            <w:r>
              <w:t>Height, cm</w:t>
            </w:r>
          </w:p>
        </w:tc>
        <w:tc>
          <w:tcPr>
            <w:tcW w:type="dxa" w:w="3120"/>
          </w:tcPr>
          <w:p>
            <w:r>
              <w:t>170·1 (9·8)</w:t>
            </w:r>
          </w:p>
        </w:tc>
        <w:tc>
          <w:tcPr>
            <w:tcW w:type="dxa" w:w="3120"/>
          </w:tcPr>
          <w:p>
            <w:r>
              <w:t>170·4 (9·2)</w:t>
            </w:r>
          </w:p>
        </w:tc>
      </w:tr>
      <w:tr>
        <w:tc>
          <w:tcPr>
            <w:tcW w:type="dxa" w:w="3120"/>
          </w:tcPr>
          <w:p>
            <w:r>
              <w:t>Weight, kg</w:t>
            </w:r>
          </w:p>
        </w:tc>
        <w:tc>
          <w:tcPr>
            <w:tcW w:type="dxa" w:w="3120"/>
          </w:tcPr>
          <w:p>
            <w:r>
              <w:t>71·2 (16·5)</w:t>
            </w:r>
          </w:p>
        </w:tc>
        <w:tc>
          <w:tcPr>
            <w:tcW w:type="dxa" w:w="3120"/>
          </w:tcPr>
          <w:p>
            <w:r>
              <w:t>70·7 (16·0)</w:t>
            </w:r>
          </w:p>
        </w:tc>
      </w:tr>
      <w:tr>
        <w:tc>
          <w:tcPr>
            <w:tcW w:type="dxa" w:w="3120"/>
          </w:tcPr>
          <w:p>
            <w:r>
              <w:t>BMI, kg/m²</w:t>
            </w:r>
          </w:p>
        </w:tc>
        <w:tc>
          <w:tcPr>
            <w:tcW w:type="dxa" w:w="3120"/>
          </w:tcPr>
          <w:p>
            <w:r>
              <w:t>24·6 (5·1)</w:t>
            </w:r>
          </w:p>
        </w:tc>
        <w:tc>
          <w:tcPr>
            <w:tcW w:type="dxa" w:w="3120"/>
          </w:tcPr>
          <w:p>
            <w:r>
              <w:t>24·3 (4·9)</w:t>
            </w:r>
          </w:p>
        </w:tc>
      </w:tr>
      <w:tr>
        <w:tc>
          <w:tcPr>
            <w:tcW w:type="dxa" w:w="3120"/>
          </w:tcPr>
          <w:p>
            <w:r>
              <w:t>Systolic BP, mmHg</w:t>
            </w:r>
          </w:p>
        </w:tc>
        <w:tc>
          <w:tcPr>
            <w:tcW w:type="dxa" w:w="3120"/>
          </w:tcPr>
          <w:p>
            <w:r>
              <w:t>122·3 (17·9)</w:t>
            </w:r>
          </w:p>
        </w:tc>
        <w:tc>
          <w:tcPr>
            <w:tcW w:type="dxa" w:w="3120"/>
          </w:tcPr>
          <w:p>
            <w:r>
              <w:t>121·9 (17·5)</w:t>
            </w:r>
          </w:p>
        </w:tc>
      </w:tr>
      <w:tr>
        <w:tc>
          <w:tcPr>
            <w:tcW w:type="dxa" w:w="3120"/>
          </w:tcPr>
          <w:p>
            <w:r>
              <w:t>Diastolic BP, mmHg</w:t>
            </w:r>
          </w:p>
        </w:tc>
        <w:tc>
          <w:tcPr>
            <w:tcW w:type="dxa" w:w="3120"/>
          </w:tcPr>
          <w:p>
            <w:r>
              <w:t>—</w:t>
            </w:r>
          </w:p>
        </w:tc>
        <w:tc>
          <w:tcPr>
            <w:tcW w:type="dxa" w:w="3120"/>
          </w:tcPr>
          <w:p>
            <w:r>
              <w:t>—</w:t>
            </w:r>
          </w:p>
        </w:tc>
      </w:tr>
      <w:tr>
        <w:tc>
          <w:tcPr>
            <w:tcW w:type="dxa" w:w="3120"/>
          </w:tcPr>
          <w:p>
            <w:r>
              <w:t>Fasting glucose, mmol/L</w:t>
            </w:r>
          </w:p>
        </w:tc>
        <w:tc>
          <w:tcPr>
            <w:tcW w:type="dxa" w:w="3120"/>
          </w:tcPr>
          <w:p>
            <w:r>
              <w:t>5·39 (1·58)</w:t>
            </w:r>
          </w:p>
        </w:tc>
        <w:tc>
          <w:tcPr>
            <w:tcW w:type="dxa" w:w="3120"/>
          </w:tcPr>
          <w:p>
            <w:r>
              <w:t>5·45 (1·63)</w:t>
            </w:r>
          </w:p>
        </w:tc>
      </w:tr>
      <w:tr>
        <w:tc>
          <w:tcPr>
            <w:tcW w:type="dxa" w:w="3120"/>
          </w:tcPr>
          <w:p>
            <w:r>
              <w:t>Previous antihypertensive use</w:t>
            </w:r>
          </w:p>
        </w:tc>
        <w:tc>
          <w:tcPr>
            <w:tcW w:type="dxa" w:w="3120"/>
          </w:tcPr>
          <w:p>
            <w:r>
              <w:t>18 (32%)</w:t>
            </w:r>
          </w:p>
        </w:tc>
        <w:tc>
          <w:tcPr>
            <w:tcW w:type="dxa" w:w="3120"/>
          </w:tcPr>
          <w:p>
            <w:r>
              <w:t>14 (32%)</w:t>
            </w:r>
          </w:p>
        </w:tc>
      </w:tr>
      <w:tr>
        <w:tc>
          <w:tcPr>
            <w:tcW w:type="dxa" w:w="3120"/>
          </w:tcPr>
          <w:p>
            <w:r>
              <w:t>Current smoker</w:t>
            </w:r>
          </w:p>
        </w:tc>
        <w:tc>
          <w:tcPr>
            <w:tcW w:type="dxa" w:w="3120"/>
          </w:tcPr>
          <w:p>
            <w:r>
              <w:t>12 (21%)</w:t>
            </w:r>
          </w:p>
        </w:tc>
        <w:tc>
          <w:tcPr>
            <w:tcW w:type="dxa" w:w="3120"/>
          </w:tcPr>
          <w:p>
            <w:r>
              <w:t>9 (20%)</w:t>
            </w:r>
          </w:p>
        </w:tc>
      </w:tr>
    </w:tbl>
    <w:p>
      <w:r>
        <w:t>Data are mean (SD) or n (%). BP=blood pressure. BMI=body mass index.</w:t>
      </w:r>
    </w:p>
    <w:p/>
    <w:p>
      <w:r>
        <w:rPr>
          <w:rFonts w:ascii="Times New Roman" w:hAnsi="Times New Roman"/>
          <w:b/>
          <w:sz w:val="22"/>
        </w:rPr>
        <w:t>Table 2: Primary and Secondary Outcomes at 6 Months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Outcome</w:t>
            </w:r>
          </w:p>
        </w:tc>
        <w:tc>
          <w:tcPr>
            <w:tcW w:type="dxa" w:w="2340"/>
          </w:tcPr>
          <w:p>
            <w:r>
              <w:t>Comprehensive Treatment (n=56)</w:t>
            </w:r>
          </w:p>
        </w:tc>
        <w:tc>
          <w:tcPr>
            <w:tcW w:type="dxa" w:w="2340"/>
          </w:tcPr>
          <w:p>
            <w:r>
              <w:t>Standard Care (n=44)</w:t>
            </w:r>
          </w:p>
        </w:tc>
        <w:tc>
          <w:tcPr>
            <w:tcW w:type="dxa" w:w="2340"/>
          </w:tcPr>
          <w:p>
            <w:r>
              <w:t>Difference (95% CI); p-value</w:t>
            </w:r>
          </w:p>
        </w:tc>
      </w:tr>
      <w:tr>
        <w:tc>
          <w:tcPr>
            <w:tcW w:type="dxa" w:w="2340"/>
          </w:tcPr>
          <w:p>
            <w:r>
              <w:t>Primary outcome</w:t>
            </w:r>
          </w:p>
        </w:tc>
        <w:tc>
          <w:tcPr>
            <w:tcW w:type="dxa" w:w="2340"/>
          </w:tcPr>
          <w:p>
            <w:r/>
          </w:p>
        </w:tc>
        <w:tc>
          <w:tcPr>
            <w:tcW w:type="dxa" w:w="2340"/>
          </w:tcPr>
          <w:p>
            <w:r/>
          </w:p>
        </w:tc>
        <w:tc>
          <w:tcPr>
            <w:tcW w:type="dxa" w:w="2340"/>
          </w:tcPr>
          <w:p>
            <w:r/>
          </w:p>
        </w:tc>
      </w:tr>
      <w:tr>
        <w:tc>
          <w:tcPr>
            <w:tcW w:type="dxa" w:w="2340"/>
          </w:tcPr>
          <w:p>
            <w:r>
              <w:t xml:space="preserve">  Systolic BP, mmHg</w:t>
            </w:r>
          </w:p>
        </w:tc>
        <w:tc>
          <w:tcPr>
            <w:tcW w:type="dxa" w:w="2340"/>
          </w:tcPr>
          <w:p>
            <w:r>
              <w:t>122·3 (17·6)</w:t>
            </w:r>
          </w:p>
        </w:tc>
        <w:tc>
          <w:tcPr>
            <w:tcW w:type="dxa" w:w="2340"/>
          </w:tcPr>
          <w:p>
            <w:r>
              <w:t>122·2 (18·1)</w:t>
            </w:r>
          </w:p>
        </w:tc>
        <w:tc>
          <w:tcPr>
            <w:tcW w:type="dxa" w:w="2340"/>
          </w:tcPr>
          <w:p>
            <w:r>
              <w:t>0·04 (−7·3 to 7·4); 0·982</w:t>
            </w:r>
          </w:p>
        </w:tc>
      </w:tr>
      <w:tr>
        <w:tc>
          <w:tcPr>
            <w:tcW w:type="dxa" w:w="2340"/>
          </w:tcPr>
          <w:p>
            <w:r>
              <w:t>Secondary outcomes</w:t>
            </w:r>
          </w:p>
        </w:tc>
        <w:tc>
          <w:tcPr>
            <w:tcW w:type="dxa" w:w="2340"/>
          </w:tcPr>
          <w:p>
            <w:r/>
          </w:p>
        </w:tc>
        <w:tc>
          <w:tcPr>
            <w:tcW w:type="dxa" w:w="2340"/>
          </w:tcPr>
          <w:p>
            <w:r/>
          </w:p>
        </w:tc>
        <w:tc>
          <w:tcPr>
            <w:tcW w:type="dxa" w:w="2340"/>
          </w:tcPr>
          <w:p>
            <w:r/>
          </w:p>
        </w:tc>
      </w:tr>
      <w:tr>
        <w:tc>
          <w:tcPr>
            <w:tcW w:type="dxa" w:w="2340"/>
          </w:tcPr>
          <w:p>
            <w:r>
              <w:t xml:space="preserve">  Treatment efficacy</w:t>
            </w:r>
          </w:p>
        </w:tc>
        <w:tc>
          <w:tcPr>
            <w:tcW w:type="dxa" w:w="2340"/>
          </w:tcPr>
          <w:p>
            <w:r>
              <w:t>26 (46·4%)</w:t>
            </w:r>
          </w:p>
        </w:tc>
        <w:tc>
          <w:tcPr>
            <w:tcW w:type="dxa" w:w="2340"/>
          </w:tcPr>
          <w:p>
            <w:r>
              <w:t>23 (52·3%)</w:t>
            </w:r>
          </w:p>
        </w:tc>
        <w:tc>
          <w:tcPr>
            <w:tcW w:type="dxa" w:w="2340"/>
          </w:tcPr>
          <w:p>
            <w:r>
              <w:t>OR 0·79 (0·36 to 1·73); 0·705</w:t>
            </w:r>
          </w:p>
        </w:tc>
      </w:tr>
    </w:tbl>
    <w:p>
      <w:r>
        <w:t>Data are mean (SD) or n (%). BP=blood pressure. OR=odds ratio. CI=confidence interval.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