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055" w:rsidRDefault="00A45055" w:rsidP="00A45055">
      <w:pPr>
        <w:pStyle w:val="1"/>
      </w:pPr>
      <w:bookmarkStart w:id="0" w:name="_Toc498705077"/>
      <w:bookmarkStart w:id="1" w:name="_Toc500714144"/>
      <w:r>
        <w:t>1</w:t>
      </w:r>
      <w:r>
        <w:rPr>
          <w:rFonts w:hint="eastAsia"/>
        </w:rPr>
        <w:t>绪论</w:t>
      </w:r>
      <w:bookmarkEnd w:id="0"/>
      <w:bookmarkEnd w:id="1"/>
    </w:p>
    <w:p w:rsidR="00A45055" w:rsidRDefault="00A45055" w:rsidP="00A45055">
      <w:pPr>
        <w:pStyle w:val="2"/>
        <w:jc w:val="left"/>
      </w:pPr>
      <w:bookmarkStart w:id="2" w:name="_Toc498705078"/>
      <w:bookmarkStart w:id="3" w:name="OLE_LINK122"/>
      <w:bookmarkStart w:id="4" w:name="OLE_LINK121"/>
      <w:bookmarkStart w:id="5" w:name="_Toc500714145"/>
      <w:r>
        <w:t>1.1</w:t>
      </w:r>
      <w:r>
        <w:rPr>
          <w:rFonts w:hint="eastAsia"/>
        </w:rPr>
        <w:t>课题背景与意义</w:t>
      </w:r>
      <w:bookmarkEnd w:id="2"/>
      <w:bookmarkEnd w:id="5"/>
    </w:p>
    <w:p w:rsidR="00A45055" w:rsidRDefault="00A45055" w:rsidP="00A45055">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A45055" w:rsidRDefault="00A45055" w:rsidP="00A45055">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A45055" w:rsidRDefault="00A45055" w:rsidP="00A45055">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A45055" w:rsidRDefault="00A45055" w:rsidP="00A45055">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w:t>
      </w:r>
      <w:r>
        <w:rPr>
          <w:rFonts w:hint="eastAsia"/>
        </w:rPr>
        <w:lastRenderedPageBreak/>
        <w:t>靠的解决方案，具有非常高的实用价值。</w:t>
      </w:r>
    </w:p>
    <w:p w:rsidR="00A45055" w:rsidRDefault="00A45055" w:rsidP="00A45055">
      <w:pPr>
        <w:pStyle w:val="2"/>
        <w:jc w:val="left"/>
      </w:pPr>
      <w:bookmarkStart w:id="6" w:name="_Toc500714146"/>
      <w:r>
        <w:t>1.2</w:t>
      </w:r>
      <w:r>
        <w:rPr>
          <w:rFonts w:hint="eastAsia"/>
        </w:rPr>
        <w:t>海洋地震勘探简介</w:t>
      </w:r>
      <w:bookmarkEnd w:id="6"/>
    </w:p>
    <w:p w:rsidR="00A45055" w:rsidRDefault="00A45055" w:rsidP="00A45055">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A45055" w:rsidRDefault="00A45055" w:rsidP="00A45055">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A45055" w:rsidRDefault="00A45055" w:rsidP="00A45055">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浮电缆中。</w:t>
      </w:r>
    </w:p>
    <w:p w:rsidR="00A45055" w:rsidRDefault="00A45055" w:rsidP="00A45055">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A45055" w:rsidRDefault="00A45055" w:rsidP="00A45055">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Pr>
          <w:rFonts w:hint="eastAsia"/>
        </w:rPr>
        <w:lastRenderedPageBreak/>
        <w:t>储藏情况。</w:t>
      </w:r>
    </w:p>
    <w:p w:rsidR="00A45055" w:rsidRDefault="00A45055" w:rsidP="00A45055">
      <w:pPr>
        <w:ind w:firstLineChars="200" w:firstLine="480"/>
      </w:pPr>
      <w:r>
        <w:rPr>
          <w:rFonts w:hint="eastAsia"/>
        </w:rPr>
        <w:t>采用拖缆式的海上油气地震勘探技术示意图如图</w:t>
      </w:r>
      <w:r>
        <w:rPr>
          <w:noProof/>
        </w:rPr>
        <w:drawing>
          <wp:anchor distT="0" distB="0" distL="114300" distR="114300" simplePos="0" relativeHeight="251659264" behindDoc="0" locked="0" layoutInCell="1" allowOverlap="1" wp14:anchorId="1B5FB73F" wp14:editId="42059B04">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A45055" w:rsidRDefault="00A45055" w:rsidP="00A45055">
      <w:pPr>
        <w:jc w:val="center"/>
        <w:rPr>
          <w:color w:val="FF0000"/>
        </w:rPr>
      </w:pPr>
      <w:r>
        <w:rPr>
          <w:rFonts w:hint="eastAsia"/>
          <w:color w:val="FF0000"/>
        </w:rPr>
        <w:t>图</w:t>
      </w:r>
      <w:r>
        <w:rPr>
          <w:color w:val="FF0000"/>
        </w:rPr>
        <w:t>1.x</w:t>
      </w:r>
      <w:r>
        <w:rPr>
          <w:rFonts w:hint="eastAsia"/>
          <w:color w:val="FF0000"/>
        </w:rPr>
        <w:t>：海上油气地震勘探技术示意图</w:t>
      </w:r>
    </w:p>
    <w:p w:rsidR="00A45055" w:rsidRDefault="00A45055" w:rsidP="00A45055">
      <w:pPr>
        <w:pStyle w:val="2"/>
        <w:jc w:val="left"/>
      </w:pPr>
      <w:bookmarkStart w:id="7" w:name="_Toc498705079"/>
      <w:bookmarkStart w:id="8" w:name="_Toc408924234"/>
      <w:bookmarkStart w:id="9" w:name="_Toc468278817"/>
      <w:bookmarkStart w:id="10" w:name="_Toc500714147"/>
      <w:r>
        <w:t>1.3</w:t>
      </w:r>
      <w:r>
        <w:rPr>
          <w:rFonts w:hint="eastAsia"/>
        </w:rPr>
        <w:t>国内外相关技术研究现状</w:t>
      </w:r>
      <w:bookmarkEnd w:id="7"/>
      <w:bookmarkEnd w:id="10"/>
    </w:p>
    <w:p w:rsidR="00A45055" w:rsidRDefault="00A45055" w:rsidP="00A45055">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A45055" w:rsidRDefault="00A45055" w:rsidP="00A45055">
      <w:pPr>
        <w:pStyle w:val="3"/>
        <w:jc w:val="left"/>
      </w:pPr>
      <w:bookmarkStart w:id="11" w:name="_Toc498705080"/>
      <w:bookmarkStart w:id="12" w:name="_Toc500714148"/>
      <w:r>
        <w:t>1.3.1</w:t>
      </w:r>
      <w:bookmarkEnd w:id="8"/>
      <w:r>
        <w:rPr>
          <w:rFonts w:hint="eastAsia"/>
        </w:rPr>
        <w:t>国外研究现状</w:t>
      </w:r>
      <w:bookmarkEnd w:id="9"/>
      <w:bookmarkEnd w:id="11"/>
      <w:bookmarkEnd w:id="12"/>
    </w:p>
    <w:p w:rsidR="00A45055" w:rsidRDefault="00A45055" w:rsidP="00A45055">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A45055" w:rsidRDefault="00A45055" w:rsidP="00A45055">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A45055" w:rsidRDefault="00A45055" w:rsidP="00A45055">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lastRenderedPageBreak/>
        <w:t>公司率先发明了当前最新的第六代海洋地震设备的核心技术——基于</w:t>
      </w:r>
      <w:r>
        <w:t>MEMs</w:t>
      </w:r>
      <w:r>
        <w:rPr>
          <w:rFonts w:hint="eastAsia"/>
        </w:rPr>
        <w:t>的全数字水听器。该公司之所以能够成功，与其都尖端的技术追求和产品性能多元化理念是分不开的。其生产的设备普遍用途广泛，可用于诸如油气勘探、环境监测等多个领域。</w:t>
      </w:r>
    </w:p>
    <w:p w:rsidR="00A45055" w:rsidRDefault="00A45055" w:rsidP="00A45055">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系统的主要优势在于小型化，其水听器在拖缆上是线列排布的，拖缆缆体直径只有不到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A45055" w:rsidRDefault="00A45055" w:rsidP="00A45055">
      <w:pPr>
        <w:ind w:firstLineChars="200" w:firstLine="480"/>
      </w:pPr>
      <w:r>
        <w:rPr>
          <w:rFonts w:hint="eastAsia"/>
        </w:rPr>
        <w:t>美国</w:t>
      </w:r>
      <w:r>
        <w:t>HTI</w:t>
      </w:r>
      <w:r>
        <w:rPr>
          <w:rFonts w:hint="eastAsia"/>
        </w:rPr>
        <w:t>公司提供的海洋油气勘探系统以</w:t>
      </w:r>
      <w:r>
        <w:t>SeaMUX</w:t>
      </w:r>
      <w:r>
        <w:rPr>
          <w:rFonts w:hint="eastAsia"/>
        </w:rPr>
        <w:t>命名，该系统采用</w:t>
      </w:r>
      <w:r>
        <w:t>22AWG</w:t>
      </w:r>
      <w:r>
        <w:rPr>
          <w:rFonts w:hint="eastAsia"/>
        </w:rPr>
        <w:t>双绞线信号传输线，并且其设计的拖缆为双向连接模型，方便的同时也增加了数据传输的鲁棒性。</w:t>
      </w:r>
    </w:p>
    <w:p w:rsidR="00A45055" w:rsidRDefault="00A45055" w:rsidP="00A45055">
      <w:pPr>
        <w:ind w:firstLineChars="200" w:firstLine="480"/>
      </w:pPr>
      <w:r>
        <w:rPr>
          <w:rFonts w:hint="eastAsia"/>
        </w:rPr>
        <w:t>除此此外，美国</w:t>
      </w:r>
      <w:r>
        <w:t>FairField</w:t>
      </w:r>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A45055" w:rsidRDefault="00A45055" w:rsidP="00A45055">
      <w:pPr>
        <w:jc w:val="center"/>
      </w:pPr>
      <w:r>
        <w:rPr>
          <w:rFonts w:hint="eastAsia"/>
        </w:rPr>
        <w:t>表</w:t>
      </w:r>
      <w:r>
        <w:t xml:space="preserve">1.1 </w:t>
      </w:r>
      <w:r>
        <w:rPr>
          <w:rFonts w:hint="eastAsia"/>
        </w:rPr>
        <w:t>部分国外公司产品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A45055" w:rsidTr="00EE0A9C">
        <w:tc>
          <w:tcPr>
            <w:tcW w:w="1843" w:type="dxa"/>
            <w:tcBorders>
              <w:top w:val="single" w:sz="8" w:space="0" w:color="auto"/>
              <w:left w:val="nil"/>
              <w:bottom w:val="single" w:sz="8" w:space="0" w:color="auto"/>
              <w:right w:val="single" w:sz="4" w:space="0" w:color="auto"/>
            </w:tcBorders>
            <w:hideMark/>
          </w:tcPr>
          <w:p w:rsidR="00A45055" w:rsidRDefault="00A45055" w:rsidP="00EE0A9C">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A45055" w:rsidRDefault="00A45055" w:rsidP="00EE0A9C">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A45055" w:rsidRDefault="00A45055" w:rsidP="00EE0A9C">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A45055" w:rsidRDefault="00A45055" w:rsidP="00EE0A9C">
            <w:pPr>
              <w:jc w:val="center"/>
            </w:pPr>
            <w:r>
              <w:rPr>
                <w:rFonts w:hint="eastAsia"/>
              </w:rPr>
              <w:t>产品特点</w:t>
            </w:r>
          </w:p>
        </w:tc>
      </w:tr>
      <w:tr w:rsidR="00A45055" w:rsidTr="00EE0A9C">
        <w:tc>
          <w:tcPr>
            <w:tcW w:w="1843" w:type="dxa"/>
            <w:tcBorders>
              <w:top w:val="single" w:sz="8" w:space="0" w:color="auto"/>
              <w:left w:val="nil"/>
              <w:bottom w:val="single" w:sz="4" w:space="0" w:color="auto"/>
              <w:right w:val="single" w:sz="4" w:space="0" w:color="auto"/>
            </w:tcBorders>
            <w:hideMark/>
          </w:tcPr>
          <w:p w:rsidR="00A45055" w:rsidRDefault="00A45055" w:rsidP="00EE0A9C">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A45055" w:rsidRDefault="00A45055" w:rsidP="00EE0A9C">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A45055" w:rsidRDefault="00A45055" w:rsidP="00EE0A9C">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A45055" w:rsidRDefault="00A45055" w:rsidP="00EE0A9C">
            <w:pPr>
              <w:jc w:val="center"/>
            </w:pPr>
            <w:r>
              <w:rPr>
                <w:rFonts w:hint="eastAsia"/>
              </w:rPr>
              <w:t>精确度高，可控性强</w:t>
            </w:r>
          </w:p>
        </w:tc>
      </w:tr>
      <w:tr w:rsidR="00A45055" w:rsidTr="00EE0A9C">
        <w:tc>
          <w:tcPr>
            <w:tcW w:w="1843" w:type="dxa"/>
            <w:tcBorders>
              <w:top w:val="single" w:sz="4" w:space="0" w:color="auto"/>
              <w:left w:val="nil"/>
              <w:bottom w:val="single" w:sz="4" w:space="0" w:color="auto"/>
              <w:right w:val="single" w:sz="4" w:space="0" w:color="auto"/>
            </w:tcBorders>
            <w:hideMark/>
          </w:tcPr>
          <w:p w:rsidR="00A45055" w:rsidRDefault="00A45055" w:rsidP="00EE0A9C">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DigiSTREAMER</w:t>
            </w:r>
          </w:p>
        </w:tc>
        <w:tc>
          <w:tcPr>
            <w:tcW w:w="1842"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A45055" w:rsidRDefault="00A45055" w:rsidP="00EE0A9C">
            <w:pPr>
              <w:jc w:val="center"/>
            </w:pPr>
            <w:r>
              <w:rPr>
                <w:rFonts w:hint="eastAsia"/>
              </w:rPr>
              <w:t>精度高，用途广泛</w:t>
            </w:r>
          </w:p>
        </w:tc>
      </w:tr>
      <w:tr w:rsidR="00A45055" w:rsidTr="00EE0A9C">
        <w:tc>
          <w:tcPr>
            <w:tcW w:w="1843" w:type="dxa"/>
            <w:tcBorders>
              <w:top w:val="single" w:sz="4" w:space="0" w:color="auto"/>
              <w:left w:val="nil"/>
              <w:bottom w:val="single" w:sz="4" w:space="0" w:color="auto"/>
              <w:right w:val="single" w:sz="4" w:space="0" w:color="auto"/>
            </w:tcBorders>
            <w:hideMark/>
          </w:tcPr>
          <w:p w:rsidR="00A45055" w:rsidRDefault="00A45055" w:rsidP="00EE0A9C">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1260</w:t>
            </w:r>
          </w:p>
        </w:tc>
        <w:tc>
          <w:tcPr>
            <w:tcW w:w="2626" w:type="dxa"/>
            <w:tcBorders>
              <w:top w:val="single" w:sz="4" w:space="0" w:color="auto"/>
              <w:left w:val="single" w:sz="4" w:space="0" w:color="auto"/>
              <w:bottom w:val="single" w:sz="4" w:space="0" w:color="auto"/>
              <w:right w:val="nil"/>
            </w:tcBorders>
            <w:hideMark/>
          </w:tcPr>
          <w:p w:rsidR="00A45055" w:rsidRDefault="00A45055" w:rsidP="00EE0A9C">
            <w:pPr>
              <w:jc w:val="center"/>
            </w:pPr>
            <w:r>
              <w:rPr>
                <w:rFonts w:hint="eastAsia"/>
              </w:rPr>
              <w:t>小型化，操作方便</w:t>
            </w:r>
          </w:p>
        </w:tc>
      </w:tr>
      <w:tr w:rsidR="00A45055" w:rsidTr="00EE0A9C">
        <w:tc>
          <w:tcPr>
            <w:tcW w:w="1843" w:type="dxa"/>
            <w:tcBorders>
              <w:top w:val="single" w:sz="4" w:space="0" w:color="auto"/>
              <w:left w:val="nil"/>
              <w:bottom w:val="single" w:sz="4" w:space="0" w:color="auto"/>
              <w:right w:val="single" w:sz="4" w:space="0" w:color="auto"/>
            </w:tcBorders>
            <w:hideMark/>
          </w:tcPr>
          <w:p w:rsidR="00A45055" w:rsidRDefault="00A45055" w:rsidP="00EE0A9C">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SealMUX</w:t>
            </w:r>
          </w:p>
        </w:tc>
        <w:tc>
          <w:tcPr>
            <w:tcW w:w="1842" w:type="dxa"/>
            <w:tcBorders>
              <w:top w:val="single" w:sz="4" w:space="0" w:color="auto"/>
              <w:left w:val="single" w:sz="4" w:space="0" w:color="auto"/>
              <w:bottom w:val="single" w:sz="4" w:space="0" w:color="auto"/>
              <w:right w:val="single" w:sz="4" w:space="0" w:color="auto"/>
            </w:tcBorders>
            <w:hideMark/>
          </w:tcPr>
          <w:p w:rsidR="00A45055" w:rsidRDefault="00A45055" w:rsidP="00EE0A9C">
            <w:pPr>
              <w:jc w:val="center"/>
            </w:pPr>
            <w:r>
              <w:t>960</w:t>
            </w:r>
          </w:p>
        </w:tc>
        <w:tc>
          <w:tcPr>
            <w:tcW w:w="2626" w:type="dxa"/>
            <w:tcBorders>
              <w:top w:val="single" w:sz="4" w:space="0" w:color="auto"/>
              <w:left w:val="single" w:sz="4" w:space="0" w:color="auto"/>
              <w:bottom w:val="single" w:sz="4" w:space="0" w:color="auto"/>
              <w:right w:val="nil"/>
            </w:tcBorders>
            <w:hideMark/>
          </w:tcPr>
          <w:p w:rsidR="00A45055" w:rsidRDefault="00A45055" w:rsidP="00EE0A9C">
            <w:pPr>
              <w:jc w:val="center"/>
            </w:pPr>
            <w:r>
              <w:rPr>
                <w:rFonts w:hint="eastAsia"/>
              </w:rPr>
              <w:t>强大的鲁棒性</w:t>
            </w:r>
          </w:p>
        </w:tc>
      </w:tr>
    </w:tbl>
    <w:p w:rsidR="00A45055" w:rsidRDefault="00A45055" w:rsidP="00A45055">
      <w:pPr>
        <w:jc w:val="center"/>
        <w:rPr>
          <w:color w:val="FF0000"/>
        </w:rPr>
      </w:pPr>
    </w:p>
    <w:p w:rsidR="00A45055" w:rsidRDefault="00A45055" w:rsidP="00A45055">
      <w:pPr>
        <w:pStyle w:val="3"/>
        <w:jc w:val="left"/>
        <w:rPr>
          <w:szCs w:val="24"/>
        </w:rPr>
      </w:pPr>
      <w:bookmarkStart w:id="13" w:name="_Toc498705081"/>
      <w:bookmarkStart w:id="14" w:name="_Toc468278818"/>
      <w:bookmarkStart w:id="15" w:name="_Toc500714149"/>
      <w:r>
        <w:rPr>
          <w:szCs w:val="24"/>
        </w:rPr>
        <w:t>1.3.2</w:t>
      </w:r>
      <w:r>
        <w:rPr>
          <w:rFonts w:hint="eastAsia"/>
          <w:szCs w:val="24"/>
        </w:rPr>
        <w:t>国内研究现状</w:t>
      </w:r>
      <w:bookmarkEnd w:id="13"/>
      <w:bookmarkEnd w:id="14"/>
      <w:bookmarkEnd w:id="15"/>
    </w:p>
    <w:p w:rsidR="00A45055" w:rsidRDefault="00A45055" w:rsidP="00A45055">
      <w:pPr>
        <w:ind w:firstLineChars="200" w:firstLine="480"/>
      </w:pPr>
      <w:bookmarkStart w:id="16" w:name="_Toc408924230"/>
      <w:bookmarkStart w:id="17" w:name="_Toc309033175"/>
      <w:bookmarkStart w:id="18" w:name="_Toc309033738"/>
      <w:bookmarkStart w:id="19" w:name="_Toc309374952"/>
      <w:bookmarkEnd w:id="3"/>
      <w:bookmarkEnd w:id="4"/>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r>
        <w:t>Fairfied</w:t>
      </w:r>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A45055" w:rsidRDefault="00A45055" w:rsidP="00A45055">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光纤发明了干涉型水听器，该水听器相比于传统的压电式水听器具备灵敏度更高，探测范围更广的优点，能够实现对微弱海洋地震信号的检波；国防科技大学的胡永明</w:t>
      </w:r>
      <w:r>
        <w:rPr>
          <w:rFonts w:hint="eastAsia"/>
        </w:rPr>
        <w:lastRenderedPageBreak/>
        <w:t>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8pt;height:15pt" o:ole="">
            <v:imagedata r:id="rId8" o:title=""/>
          </v:shape>
          <o:OLEObject Type="Embed" ProgID="Equation.DSMT4" ShapeID="_x0000_i1027" DrawAspect="Content" ObjectID="_1574456172" r:id="rId9"/>
        </w:object>
      </w:r>
      <w:r>
        <w:rPr>
          <w:rFonts w:hint="eastAsia"/>
        </w:rPr>
        <w:t>型数模转换器（</w:t>
      </w:r>
      <w:r>
        <w:t>ADC</w:t>
      </w:r>
      <w:r>
        <w:rPr>
          <w:rFonts w:hint="eastAsia"/>
        </w:rPr>
        <w:t>）和流水线式的结构优化了地震数据的传输距离以及天津大学的段发阶教授研发了基于</w:t>
      </w:r>
      <w:r>
        <w:t>LVDS</w:t>
      </w:r>
      <w:r>
        <w:rPr>
          <w:rFonts w:hint="eastAsia"/>
        </w:rPr>
        <w:t>的传输方式，实现了鲁棒却较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A45055" w:rsidRDefault="00A45055" w:rsidP="00A45055">
      <w:pPr>
        <w:pStyle w:val="2"/>
        <w:jc w:val="left"/>
      </w:pPr>
      <w:bookmarkStart w:id="20" w:name="_Toc498705082"/>
      <w:bookmarkStart w:id="21" w:name="_Toc500714150"/>
      <w:r>
        <w:t>1.4</w:t>
      </w:r>
      <w:r>
        <w:rPr>
          <w:rFonts w:hint="eastAsia"/>
        </w:rPr>
        <w:t>课题研究内容</w:t>
      </w:r>
      <w:bookmarkEnd w:id="20"/>
      <w:bookmarkEnd w:id="21"/>
    </w:p>
    <w:p w:rsidR="00A45055" w:rsidRDefault="00A45055" w:rsidP="00A45055">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t xml:space="preserve"> </w:t>
      </w:r>
    </w:p>
    <w:p w:rsidR="00A45055" w:rsidRDefault="00A45055" w:rsidP="00A45055">
      <w:pPr>
        <w:ind w:left="480"/>
      </w:pPr>
      <w:r>
        <w:t xml:space="preserve">1. </w:t>
      </w:r>
      <w:r>
        <w:rPr>
          <w:rFonts w:hint="eastAsia"/>
        </w:rPr>
        <w:t>研发基于以太网修改的自定义传输协议</w:t>
      </w:r>
    </w:p>
    <w:p w:rsidR="00A45055" w:rsidRDefault="00A45055" w:rsidP="00A45055">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A45055" w:rsidRDefault="00A45055" w:rsidP="00A45055">
      <w:pPr>
        <w:ind w:left="480"/>
      </w:pPr>
      <w:r>
        <w:t xml:space="preserve">2. </w:t>
      </w:r>
      <w:r>
        <w:rPr>
          <w:rFonts w:hint="eastAsia"/>
        </w:rPr>
        <w:t>实现处理器与</w:t>
      </w:r>
      <w:r>
        <w:t>FPGA</w:t>
      </w:r>
      <w:r>
        <w:rPr>
          <w:rFonts w:hint="eastAsia"/>
        </w:rPr>
        <w:t>之间的高速通信</w:t>
      </w:r>
    </w:p>
    <w:p w:rsidR="00A45055" w:rsidRDefault="00A45055" w:rsidP="00A45055">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r>
        <w:t>SerDES</w:t>
      </w:r>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r>
        <w:t>PCIe</w:t>
      </w:r>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A45055" w:rsidRDefault="00A45055" w:rsidP="00A45055">
      <w:pPr>
        <w:ind w:left="480"/>
      </w:pPr>
      <w:r>
        <w:t xml:space="preserve">3. </w:t>
      </w:r>
      <w:r>
        <w:rPr>
          <w:rFonts w:hint="eastAsia"/>
        </w:rPr>
        <w:t>设计故障诊断系统</w:t>
      </w:r>
    </w:p>
    <w:p w:rsidR="00A45055" w:rsidRDefault="00A45055" w:rsidP="00A45055">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A45055" w:rsidRDefault="00A45055" w:rsidP="00A45055">
      <w:pPr>
        <w:pStyle w:val="2"/>
        <w:jc w:val="left"/>
      </w:pPr>
      <w:bookmarkStart w:id="22" w:name="_Toc408924231"/>
      <w:bookmarkStart w:id="23" w:name="_Toc468278820"/>
      <w:bookmarkStart w:id="24" w:name="_Toc309374955"/>
      <w:bookmarkStart w:id="25" w:name="_Toc309033741"/>
      <w:bookmarkStart w:id="26" w:name="_Toc309033178"/>
      <w:bookmarkStart w:id="27" w:name="_Toc498705083"/>
      <w:bookmarkStart w:id="28" w:name="_Toc500714151"/>
      <w:bookmarkEnd w:id="16"/>
      <w:bookmarkEnd w:id="17"/>
      <w:bookmarkEnd w:id="18"/>
      <w:bookmarkEnd w:id="19"/>
      <w:r>
        <w:t>1.5</w:t>
      </w:r>
      <w:bookmarkEnd w:id="22"/>
      <w:bookmarkEnd w:id="23"/>
      <w:bookmarkEnd w:id="24"/>
      <w:bookmarkEnd w:id="25"/>
      <w:bookmarkEnd w:id="26"/>
      <w:r>
        <w:rPr>
          <w:rFonts w:hint="eastAsia"/>
        </w:rPr>
        <w:t>本文组织结构</w:t>
      </w:r>
      <w:bookmarkEnd w:id="27"/>
      <w:bookmarkEnd w:id="28"/>
    </w:p>
    <w:p w:rsidR="00A45055" w:rsidRDefault="00A45055" w:rsidP="00A45055">
      <w:pPr>
        <w:ind w:firstLineChars="200" w:firstLine="480"/>
      </w:pPr>
      <w:r>
        <w:rPr>
          <w:rFonts w:hint="eastAsia"/>
        </w:rPr>
        <w:t>本文的组织结构安排如下：</w:t>
      </w:r>
    </w:p>
    <w:p w:rsidR="00A45055" w:rsidRDefault="00A45055" w:rsidP="00A45055">
      <w:pPr>
        <w:ind w:firstLineChars="200" w:firstLine="480"/>
      </w:pPr>
      <w:r>
        <w:rPr>
          <w:rFonts w:hint="eastAsia"/>
        </w:rPr>
        <w:t>第一章：绪论。主要论述了基于</w:t>
      </w:r>
      <w:r>
        <w:t>NXP ARM</w:t>
      </w:r>
      <w:r>
        <w:rPr>
          <w:rFonts w:hint="eastAsia"/>
        </w:rPr>
        <w:t>处理器的海洋油气勘探数据传输</w:t>
      </w:r>
      <w:r>
        <w:rPr>
          <w:rFonts w:hint="eastAsia"/>
        </w:rPr>
        <w:lastRenderedPageBreak/>
        <w:t>系统的研究背景及意义。阐述了海洋地震勘探技术在油气勘探领域的应用，国内外研究现状及本论文研究内容和组织结构。</w:t>
      </w:r>
    </w:p>
    <w:p w:rsidR="00A45055" w:rsidRDefault="00A45055" w:rsidP="00A45055">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r>
        <w:t>PCIe</w:t>
      </w:r>
      <w:r>
        <w:rPr>
          <w:rFonts w:hint="eastAsia"/>
        </w:rPr>
        <w:t>接口技术、内存直接访问</w:t>
      </w:r>
      <w:r>
        <w:t>DMA</w:t>
      </w:r>
      <w:r>
        <w:rPr>
          <w:rFonts w:hint="eastAsia"/>
        </w:rPr>
        <w:t>技术。</w:t>
      </w:r>
    </w:p>
    <w:p w:rsidR="00A45055" w:rsidRDefault="00A45055" w:rsidP="00A45055">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A45055" w:rsidRDefault="00A45055" w:rsidP="00A45055">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A45055" w:rsidRDefault="00A45055" w:rsidP="00A45055">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A45055" w:rsidRDefault="00A45055" w:rsidP="00A45055">
      <w:pPr>
        <w:ind w:firstLineChars="200" w:firstLine="480"/>
      </w:pPr>
      <w:r>
        <w:rPr>
          <w:rFonts w:hint="eastAsia"/>
        </w:rPr>
        <w:t>第六章：总结与展望。对本论文所研究的工作进行总结评价，分析了系统优缺点。并对本系统的进一步优化进行展望。</w:t>
      </w:r>
    </w:p>
    <w:p w:rsidR="00B02128" w:rsidRPr="00A45055" w:rsidRDefault="009F0112" w:rsidP="00A45055">
      <w:bookmarkStart w:id="29" w:name="_GoBack"/>
      <w:bookmarkEnd w:id="29"/>
    </w:p>
    <w:sectPr w:rsidR="00B02128" w:rsidRPr="00A45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112" w:rsidRDefault="009F0112" w:rsidP="001560FC">
      <w:pPr>
        <w:spacing w:line="240" w:lineRule="auto"/>
      </w:pPr>
      <w:r>
        <w:separator/>
      </w:r>
    </w:p>
  </w:endnote>
  <w:endnote w:type="continuationSeparator" w:id="0">
    <w:p w:rsidR="009F0112" w:rsidRDefault="009F0112"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112" w:rsidRDefault="009F0112" w:rsidP="001560FC">
      <w:pPr>
        <w:spacing w:line="240" w:lineRule="auto"/>
      </w:pPr>
      <w:r>
        <w:separator/>
      </w:r>
    </w:p>
  </w:footnote>
  <w:footnote w:type="continuationSeparator" w:id="0">
    <w:p w:rsidR="009F0112" w:rsidRDefault="009F0112"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8D9"/>
    <w:multiLevelType w:val="hybridMultilevel"/>
    <w:tmpl w:val="36A020A6"/>
    <w:lvl w:ilvl="0" w:tplc="FBDA9A6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966F27"/>
    <w:multiLevelType w:val="hybridMultilevel"/>
    <w:tmpl w:val="40603300"/>
    <w:lvl w:ilvl="0" w:tplc="5DE48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9213E70"/>
    <w:multiLevelType w:val="hybridMultilevel"/>
    <w:tmpl w:val="C23AA2FC"/>
    <w:lvl w:ilvl="0" w:tplc="F098A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E16777B"/>
    <w:multiLevelType w:val="hybridMultilevel"/>
    <w:tmpl w:val="744C1CDE"/>
    <w:lvl w:ilvl="0" w:tplc="8F6A72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228C2"/>
    <w:rsid w:val="00087083"/>
    <w:rsid w:val="0008798B"/>
    <w:rsid w:val="000A0C35"/>
    <w:rsid w:val="000A748F"/>
    <w:rsid w:val="000B6A64"/>
    <w:rsid w:val="000F180C"/>
    <w:rsid w:val="00117FEC"/>
    <w:rsid w:val="001270E0"/>
    <w:rsid w:val="001560FC"/>
    <w:rsid w:val="00173298"/>
    <w:rsid w:val="00191CE2"/>
    <w:rsid w:val="001E4C60"/>
    <w:rsid w:val="001E6033"/>
    <w:rsid w:val="001F3A7C"/>
    <w:rsid w:val="002029F7"/>
    <w:rsid w:val="00202A18"/>
    <w:rsid w:val="00204E28"/>
    <w:rsid w:val="002200F6"/>
    <w:rsid w:val="00226318"/>
    <w:rsid w:val="00297439"/>
    <w:rsid w:val="002A5FF6"/>
    <w:rsid w:val="002B0A23"/>
    <w:rsid w:val="002D3274"/>
    <w:rsid w:val="002E3F43"/>
    <w:rsid w:val="002F3B25"/>
    <w:rsid w:val="00307AE7"/>
    <w:rsid w:val="00320D30"/>
    <w:rsid w:val="00321959"/>
    <w:rsid w:val="003D60CF"/>
    <w:rsid w:val="00431668"/>
    <w:rsid w:val="0043558C"/>
    <w:rsid w:val="00441A43"/>
    <w:rsid w:val="00461DA8"/>
    <w:rsid w:val="00462297"/>
    <w:rsid w:val="00494109"/>
    <w:rsid w:val="004B6D80"/>
    <w:rsid w:val="004C504E"/>
    <w:rsid w:val="004D7284"/>
    <w:rsid w:val="004F6940"/>
    <w:rsid w:val="00501710"/>
    <w:rsid w:val="0056297B"/>
    <w:rsid w:val="0057560A"/>
    <w:rsid w:val="005A3F4B"/>
    <w:rsid w:val="005B602A"/>
    <w:rsid w:val="005D5400"/>
    <w:rsid w:val="005F4A92"/>
    <w:rsid w:val="005F7A6C"/>
    <w:rsid w:val="00620B43"/>
    <w:rsid w:val="0071231E"/>
    <w:rsid w:val="007162C4"/>
    <w:rsid w:val="00753B06"/>
    <w:rsid w:val="0075635D"/>
    <w:rsid w:val="00784CAA"/>
    <w:rsid w:val="007A3D16"/>
    <w:rsid w:val="007C5901"/>
    <w:rsid w:val="007F4695"/>
    <w:rsid w:val="00816B64"/>
    <w:rsid w:val="00822FB4"/>
    <w:rsid w:val="00823B4D"/>
    <w:rsid w:val="008272AA"/>
    <w:rsid w:val="00832B38"/>
    <w:rsid w:val="008448A8"/>
    <w:rsid w:val="00854521"/>
    <w:rsid w:val="00861332"/>
    <w:rsid w:val="00874643"/>
    <w:rsid w:val="00894657"/>
    <w:rsid w:val="00894711"/>
    <w:rsid w:val="008B3EA1"/>
    <w:rsid w:val="008B6CEF"/>
    <w:rsid w:val="008D60DC"/>
    <w:rsid w:val="008F00B7"/>
    <w:rsid w:val="008F0123"/>
    <w:rsid w:val="00921A44"/>
    <w:rsid w:val="00940F6C"/>
    <w:rsid w:val="009A5811"/>
    <w:rsid w:val="009A7940"/>
    <w:rsid w:val="009F0112"/>
    <w:rsid w:val="00A024D2"/>
    <w:rsid w:val="00A21009"/>
    <w:rsid w:val="00A45055"/>
    <w:rsid w:val="00A5349F"/>
    <w:rsid w:val="00A66524"/>
    <w:rsid w:val="00AA5DDF"/>
    <w:rsid w:val="00AB1B13"/>
    <w:rsid w:val="00AC0048"/>
    <w:rsid w:val="00AD1E51"/>
    <w:rsid w:val="00AD1E67"/>
    <w:rsid w:val="00AD689D"/>
    <w:rsid w:val="00AE4B1E"/>
    <w:rsid w:val="00AE5795"/>
    <w:rsid w:val="00B47503"/>
    <w:rsid w:val="00B77C6B"/>
    <w:rsid w:val="00B86CC5"/>
    <w:rsid w:val="00BA3CCC"/>
    <w:rsid w:val="00BE606F"/>
    <w:rsid w:val="00BF0DDC"/>
    <w:rsid w:val="00BF2A62"/>
    <w:rsid w:val="00BF467B"/>
    <w:rsid w:val="00BF525E"/>
    <w:rsid w:val="00BF5434"/>
    <w:rsid w:val="00C01BF1"/>
    <w:rsid w:val="00C026E7"/>
    <w:rsid w:val="00C10868"/>
    <w:rsid w:val="00C1741E"/>
    <w:rsid w:val="00C22B37"/>
    <w:rsid w:val="00C23857"/>
    <w:rsid w:val="00C678DD"/>
    <w:rsid w:val="00CA0947"/>
    <w:rsid w:val="00CD5780"/>
    <w:rsid w:val="00D03574"/>
    <w:rsid w:val="00D06333"/>
    <w:rsid w:val="00D06559"/>
    <w:rsid w:val="00D233A1"/>
    <w:rsid w:val="00D34AD3"/>
    <w:rsid w:val="00D7188F"/>
    <w:rsid w:val="00DA2F21"/>
    <w:rsid w:val="00DA6B8F"/>
    <w:rsid w:val="00DB03F6"/>
    <w:rsid w:val="00DD55F1"/>
    <w:rsid w:val="00DF5612"/>
    <w:rsid w:val="00E13A13"/>
    <w:rsid w:val="00E54B5A"/>
    <w:rsid w:val="00E6382F"/>
    <w:rsid w:val="00E67F4F"/>
    <w:rsid w:val="00E76E96"/>
    <w:rsid w:val="00E85374"/>
    <w:rsid w:val="00E976F0"/>
    <w:rsid w:val="00EA2087"/>
    <w:rsid w:val="00EB1D8D"/>
    <w:rsid w:val="00EB7635"/>
    <w:rsid w:val="00EC08FE"/>
    <w:rsid w:val="00EE384D"/>
    <w:rsid w:val="00EE463F"/>
    <w:rsid w:val="00F1407E"/>
    <w:rsid w:val="00F722E4"/>
    <w:rsid w:val="00FA5CA0"/>
    <w:rsid w:val="00FB2D0C"/>
    <w:rsid w:val="00FC384F"/>
    <w:rsid w:val="00FC3E3D"/>
    <w:rsid w:val="00FD4355"/>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63</cp:revision>
  <dcterms:created xsi:type="dcterms:W3CDTF">2017-11-18T15:52:00Z</dcterms:created>
  <dcterms:modified xsi:type="dcterms:W3CDTF">2017-12-10T16:09:00Z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