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CIS 整合 OpenClaw 企划评判与补充建议</w:t>
      </w:r>
    </w:p>
    <w:p>
      <w:pPr>
        <w:spacing w:after="400"/>
        <w:jc w:val="center"/>
      </w:pPr>
      <w:r>
        <w:rPr>
          <w:color w:val="4A5548"/>
          <w:sz w:val="22"/>
          <w:szCs w:val="22"/>
        </w:rPr>
        <w:t xml:space="preserve">评判日期: 2026-02-16 | 评判人: 深度代码审查系统</w:t>
      </w:r>
    </w:p>
    <w:p>
      <w:pPr>
        <w:pStyle w:val="Heading1"/>
      </w:pPr>
      <w:r>
        <w:t xml:space="preserve">一、总体评判</w:t>
      </w:r>
    </w:p>
    <w:p>
      <w:pPr>
        <w:pStyle w:val="Heading2"/>
      </w:pPr>
      <w:r>
        <w:t xml:space="preserve">1.1 企划质量评估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文档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完整度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深度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评价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综合审查报告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★★★★★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16A34A"/>
              </w:rPr>
              <w:t xml:space="preserve">优秀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OpenClaw集成分析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★★★★★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16A34A"/>
              </w:rPr>
              <w:t xml:space="preserve">优秀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Skill兼容方案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★★★★★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★★★★★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16A34A"/>
              </w:rPr>
              <w:t xml:space="preserve">优秀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功能覆盖分析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CA8A04"/>
              </w:rPr>
              <w:t xml:space="preserve">良好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安全审计报告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★★★○○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CA8A04"/>
              </w:rPr>
              <w:t xml:space="preserve">良好</w:t>
            </w:r>
          </w:p>
        </w:tc>
      </w:tr>
    </w:tbl>
    <w:p>
      <w:pPr>
        <w:spacing w:before="200" w:after="200"/>
        <w:jc w:val="center"/>
      </w:pPr>
      <w:r>
        <w:rPr>
          <w:color w:val="4A5548"/>
          <w:sz w:val="20"/>
          <w:szCs w:val="20"/>
        </w:rPr>
        <w:t xml:space="preserve">表 1: 企划文档质量评估</w:t>
      </w:r>
    </w:p>
    <w:p>
      <w:pPr>
        <w:pStyle w:val="Heading2"/>
      </w:pPr>
      <w:r>
        <w:t xml:space="preserve">1.2 核心评判结论</w:t>
      </w:r>
    </w:p>
    <w:p>
      <w:pPr>
        <w:spacing w:after="200"/>
        <w:ind w:firstLine="480"/>
      </w:pPr>
      <w:r>
        <w:rPr>
          <w:b/>
          <w:bCs/>
        </w:rPr>
        <w:t xml:space="preserve">方桅选择：</w:t>
      </w:r>
      <w:r>
        <w:rPr>
          <w:color w:val="16A34A"/>
        </w:rPr>
        <w:t xml:space="preserve">同意“直接接入OpenClaw Skill”方案优于“Gateway集成”方案。</w:t>
      </w:r>
      <w:r>
        <w:t xml:space="preserve">这一判断是正确的，理由充分：技术栈同构（WASM运行时）、开发周期短（4-6周 vs 11周）、维护成本低（Rust单栈）。</w:t>
      </w:r>
    </w:p>
    <w:p>
      <w:pPr>
        <w:spacing w:after="200"/>
        <w:ind w:firstLine="480"/>
      </w:pPr>
      <w:r>
        <w:rPr>
          <w:b/>
          <w:bCs/>
        </w:rPr>
        <w:t xml:space="preserve">工作量估算：</w:t>
      </w:r>
      <w:r>
        <w:rPr>
          <w:color w:val="CA8A04"/>
        </w:rPr>
        <w:t xml:space="preserve">4-6周的估算偏乐观。</w:t>
      </w:r>
      <w:r>
        <w:t xml:space="preserve">实际开发中需要考虑：（1）Skill解析器的边缘情况处理；（2）工具映射的完整性；（3）与CIS现有模块的深度集成。建议调整为6-8周。</w:t>
      </w:r>
    </w:p>
    <w:p>
      <w:pPr>
        <w:spacing w:after="200"/>
        <w:ind w:firstLine="480"/>
      </w:pPr>
      <w:r>
        <w:rPr>
          <w:b/>
          <w:bCs/>
        </w:rPr>
        <w:t xml:space="preserve">功能覆盖度：</w:t>
      </w:r>
      <w:r>
        <w:rPr>
          <w:color w:val="2563EB"/>
        </w:rPr>
        <w:t xml:space="preserve">85-90%的估算基本合理。</w:t>
      </w:r>
      <w:r>
        <w:t xml:space="preserve">但需要注意，“消息渠道层”不仅仅是接入API，还包含消息格式转换、媒体处理、事件同步等复杂逻辑。</w:t>
      </w:r>
    </w:p>
    <w:p>
      <w:pPr>
        <w:pStyle w:val="Heading1"/>
      </w:pPr>
      <w:r>
        <w:t xml:space="preserve">二、关键问题补充</w:t>
      </w:r>
    </w:p>
    <w:p>
      <w:pPr>
        <w:pStyle w:val="Heading2"/>
      </w:pPr>
      <w:r>
        <w:t xml:space="preserve">2.1 企划中未涉及的关键问题</w:t>
      </w:r>
    </w:p>
    <w:p>
      <w:pPr>
        <w:pStyle w:val="Heading3"/>
      </w:pPr>
      <w:r>
        <w:t xml:space="preserve">问题1: 弱网场景适配性缺失</w:t>
      </w:r>
    </w:p>
    <w:p>
      <w:pPr>
        <w:spacing w:after="200"/>
        <w:ind w:firstLine="480"/>
      </w:pPr>
      <w:r>
        <w:t xml:space="preserve">企划完全未涉及“数字游民弱网异构编译”场景。这是一个重要的使用场景，对于游戏开发者、远程工作者等群体具有强烈需求。</w:t>
      </w:r>
    </w:p>
    <w:p>
      <w:pPr>
        <w:spacing w:after="200"/>
      </w:pPr>
      <w:r>
        <w:rPr>
          <w:b/>
          <w:bCs/>
        </w:rPr>
        <w:t xml:space="preserve">当前CIS缺失的关键能力：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离线消息队列</w:t>
      </w:r>
      <w:r>
        <w:t xml:space="preserve"> - 弱网环境下消息无法持久化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异构任务路由</w:t>
      </w:r>
      <w:r>
        <w:t xml:space="preserve"> - 无法指定“此任务必须在Mac上执行”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云端信令服务</w:t>
      </w:r>
      <w:r>
        <w:t xml:space="preserve"> - TURN服务器列表为空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Git集成</w:t>
      </w:r>
      <w:r>
        <w:t xml:space="preserve"> - 无Webhook或事件监听</w:t>
      </w:r>
    </w:p>
    <w:p>
      <w:pPr>
        <w:pStyle w:val="Heading3"/>
      </w:pPr>
      <w:r>
        <w:t xml:space="preserve">问题2: Skill执行安全边界</w:t>
      </w:r>
    </w:p>
    <w:p>
      <w:pPr>
        <w:spacing w:after="200"/>
        <w:ind w:firstLine="480"/>
      </w:pPr>
      <w:r>
        <w:t xml:space="preserve">企划提到了“开源责任风险规避”，但未深入分析Skill执行的安全边界。OpenClaw Skill可能包含：</w:t>
      </w:r>
    </w:p>
    <w:p>
      <w:pPr>
        <w:pStyle w:val="ListParagraph"/>
        <w:numPr>
          <w:ilvl w:val="0"/>
          <w:numId w:val="3"/>
        </w:numPr>
      </w:pPr>
      <w:r>
        <w:t xml:space="preserve">危险的系统命令（exec、rm -rf等）</w:t>
      </w:r>
    </w:p>
    <w:p>
      <w:pPr>
        <w:pStyle w:val="ListParagraph"/>
        <w:numPr>
          <w:ilvl w:val="0"/>
          <w:numId w:val="3"/>
        </w:numPr>
      </w:pPr>
      <w:r>
        <w:t xml:space="preserve">网络请求（可能泄露敏感信息）</w:t>
      </w:r>
    </w:p>
    <w:p>
      <w:pPr>
        <w:pStyle w:val="ListParagraph"/>
        <w:numPr>
          <w:ilvl w:val="0"/>
          <w:numId w:val="3"/>
        </w:numPr>
      </w:pPr>
      <w:r>
        <w:t xml:space="preserve">文件系统操作（可能访问敏感文件）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环境变量访问（可能获取API密钥）</w:t>
      </w:r>
    </w:p>
    <w:p>
      <w:pPr>
        <w:spacing w:after="200"/>
        <w:ind w:firstLine="480"/>
      </w:pPr>
      <w:r>
        <w:rPr>
          <w:b/>
          <w:bCs/>
        </w:rPr>
        <w:t xml:space="preserve">建议：</w:t>
      </w:r>
      <w:r>
        <w:t xml:space="preserve">需要实现细粒度的权限控制，类似于Android的权限系统。</w:t>
      </w:r>
    </w:p>
    <w:p>
      <w:pPr>
        <w:pStyle w:val="Heading3"/>
      </w:pPr>
      <w:r>
        <w:t xml:space="preserve">问题3: 消息渠道层复杂度</w:t>
      </w:r>
    </w:p>
    <w:p>
      <w:pPr>
        <w:spacing w:after="200"/>
        <w:ind w:firstLine="480"/>
      </w:pPr>
      <w:r>
        <w:t xml:space="preserve">企划将“消息渠道层”开发估算为3-4周，这个估算过于乐观。每个平台都有其特有的复杂性：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平台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复杂点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建议工作量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WhatsApp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商业API、消息模板、媒体处理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1-1.5周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Telegram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Bot API、Inline查询、WebApp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0.5-1周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Slack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App权限、Block Kit、事件订阅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1-1.5周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Discord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Gateway连接、Intents、交互组件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1-1.5周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</w:tcPr>
          <w:p>
            <w:r>
              <w:rPr>
                <w:b/>
                <w:bCs/>
              </w:rPr>
              <w:t xml:space="preserve">总计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</w:tcPr>
          <w:p>
            <w:r>
              <w:rPr>
                <w:b/>
                <w:bCs/>
              </w:rPr>
              <w:t xml:space="preserve">4-5.5周（仅渠道层）</w:t>
            </w:r>
          </w:p>
        </w:tc>
      </w:tr>
    </w:tbl>
    <w:p>
      <w:pPr>
        <w:spacing w:before="200" w:after="200"/>
        <w:jc w:val="center"/>
      </w:pPr>
      <w:r>
        <w:rPr>
          <w:color w:val="4A5548"/>
          <w:sz w:val="20"/>
          <w:szCs w:val="20"/>
        </w:rPr>
        <w:t xml:space="preserve">表 2: 消息渠道层开发工作量重估</w:t>
      </w:r>
    </w:p>
    <w:p>
      <w:pPr>
        <w:pStyle w:val="Heading1"/>
      </w:pPr>
      <w:r>
        <w:t xml:space="preserve">三、补充建议</w:t>
      </w:r>
    </w:p>
    <w:p>
      <w:pPr>
        <w:pStyle w:val="Heading2"/>
      </w:pPr>
      <w:r>
        <w:t xml:space="preserve">3.1 架构层补充</w:t>
      </w:r>
    </w:p>
    <w:p>
      <w:pPr>
        <w:pStyle w:val="Heading3"/>
      </w:pPr>
      <w:r>
        <w:t xml:space="preserve">建议1: 增加任务调度中间件</w:t>
      </w:r>
    </w:p>
    <w:p>
      <w:pPr>
        <w:spacing w:after="200"/>
        <w:ind w:firstLine="480"/>
      </w:pPr>
      <w:r>
        <w:t xml:space="preserve">为了支持“数字游民弱网异构编译”场景，建议在现有架构上增加一层“任务调度中间件”：</w:t>
      </w:r>
    </w:p>
    <w:p>
      <w:pPr>
        <w:spacing w:after="100"/>
      </w:pPr>
      <w:r>
        <w:rPr>
          <w:rFonts w:ascii="SarasaMonoSC" w:cs="SarasaMonoSC" w:eastAsia="SarasaMonoSC" w:hAnsi="SarasaMonoSC"/>
          <w:b/>
          <w:bCs/>
          <w:sz w:val="20"/>
          <w:szCs w:val="20"/>
        </w:rPr>
        <w:t xml:space="preserve">核心组件：</w:t>
      </w:r>
    </w:p>
    <w:p>
      <w:pPr>
        <w:spacing w:after="100"/>
      </w:pPr>
      <w:r>
        <w:rPr>
          <w:rFonts w:ascii="SarasaMonoSC" w:cs="SarasaMonoSC" w:eastAsia="SarasaMonoSC" w:hAnsi="SarasaMonoSC"/>
          <w:sz w:val="20"/>
          <w:szCs w:val="20"/>
        </w:rPr>
        <w:t xml:space="preserve">- OfflineQueue: 离线消息队列（SQLite持久化）</w:t>
      </w:r>
    </w:p>
    <w:p>
      <w:pPr>
        <w:spacing w:after="100"/>
      </w:pPr>
      <w:r>
        <w:rPr>
          <w:rFonts w:ascii="SarasaMonoSC" w:cs="SarasaMonoSC" w:eastAsia="SarasaMonoSC" w:hAnsi="SarasaMonoSC"/>
          <w:sz w:val="20"/>
          <w:szCs w:val="20"/>
        </w:rPr>
        <w:t xml:space="preserve">- NodeSelector: 节点能力匹配（os/arch/gpu）</w:t>
      </w:r>
    </w:p>
    <w:p>
      <w:pPr>
        <w:spacing w:after="100"/>
      </w:pPr>
      <w:r>
        <w:rPr>
          <w:rFonts w:ascii="SarasaMonoSC" w:cs="SarasaMonoSC" w:eastAsia="SarasaMonoSC" w:hAnsi="SarasaMonoSC"/>
          <w:sz w:val="20"/>
          <w:szCs w:val="20"/>
        </w:rPr>
        <w:t xml:space="preserve">- TaskRouter: 任务路由器（分发到合适节点）</w:t>
      </w:r>
    </w:p>
    <w:p>
      <w:pPr>
        <w:spacing w:after="200"/>
      </w:pPr>
      <w:r>
        <w:rPr>
          <w:rFonts w:ascii="SarasaMonoSC" w:cs="SarasaMonoSC" w:eastAsia="SarasaMonoSC" w:hAnsi="SarasaMonoSC"/>
          <w:sz w:val="20"/>
          <w:szCs w:val="20"/>
        </w:rPr>
        <w:t xml:space="preserve">- StateTracker: 任务状态跟踪（支持断点续传）</w:t>
      </w:r>
    </w:p>
    <w:p>
      <w:pPr>
        <w:pStyle w:val="Heading3"/>
      </w:pPr>
      <w:r>
        <w:t xml:space="preserve">建议2: 增加云端信令节点</w:t>
      </w:r>
    </w:p>
    <w:p>
      <w:pPr>
        <w:spacing w:after="200"/>
        <w:ind w:firstLine="480"/>
      </w:pPr>
      <w:r>
        <w:t xml:space="preserve">提供一个公网可访问的信令节点，用于：（1）节点发现（mDNS在公网不可用）；（2）消息中转（TURN中继）；（3）离线队列同步。</w:t>
      </w:r>
    </w:p>
    <w:p>
      <w:pPr>
        <w:pStyle w:val="Heading2"/>
      </w:pPr>
      <w:r>
        <w:t xml:space="preserve">3.2 安全层补充</w:t>
      </w:r>
    </w:p>
    <w:p>
      <w:pPr>
        <w:pStyle w:val="Heading3"/>
      </w:pPr>
      <w:r>
        <w:t xml:space="preserve">建议3: Skill权限系统</w:t>
      </w:r>
    </w:p>
    <w:p>
      <w:pPr>
        <w:spacing w:after="200"/>
        <w:ind w:firstLine="480"/>
      </w:pPr>
      <w:r>
        <w:t xml:space="preserve">实现类似于Android的权限系统，在Skill安装时显示请求的权限，用户可以选择性授权：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INTERNET</w:t>
      </w:r>
      <w:r>
        <w:t xml:space="preserve"> - 网络访问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FILE_READ/WRITE</w:t>
      </w:r>
      <w:r>
        <w:t xml:space="preserve"> - 文件系统访问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EXEC_COMMANDS</w:t>
      </w:r>
      <w:r>
        <w:t xml:space="preserve"> - 系统命令执行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ENV_ACCESS</w:t>
      </w:r>
      <w:r>
        <w:t xml:space="preserve"> - 环境变量访问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MEMORY_ACCESS</w:t>
      </w:r>
      <w:r>
        <w:t xml:space="preserve"> - CIS记忆访问</w:t>
      </w:r>
    </w:p>
    <w:p>
      <w:pPr>
        <w:pStyle w:val="Heading2"/>
      </w:pPr>
      <w:r>
        <w:t xml:space="preserve">3.3 开发计划调整</w:t>
      </w:r>
    </w:p>
    <w:p>
      <w:pPr>
        <w:pStyle w:val="Heading3"/>
      </w:pPr>
      <w:r>
        <w:t xml:space="preserve">建议的修订开发计划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原估算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建议调整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Phase 1: Skill基础设施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2周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CA8A04"/>
              </w:rPr>
              <w:t xml:space="preserve">3周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边缘情况</w:t>
            </w:r>
          </w:p>
        </w:tc>
      </w:tr>
      <w:tr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Phase 2: CIS模块集成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2周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2周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合理</w:t>
            </w:r>
          </w:p>
        </w:tc>
      </w:tr>
      <w:tr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Phase 3: 消息渠道层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0周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4-5周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未考虑</w:t>
            </w:r>
          </w:p>
        </w:tc>
      </w:tr>
      <w:tr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Phase 4: 弱网场景支持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0周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2-3周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未考虑</w:t>
            </w:r>
          </w:p>
        </w:tc>
      </w:tr>
      <w:tr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Phase 5: 测试与文档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2周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2周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合理</w:t>
            </w:r>
          </w:p>
        </w:tc>
      </w:tr>
      <w:tr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</w:tcPr>
          <w:p>
            <w:r>
              <w:rPr>
                <w:b/>
                <w:bCs/>
              </w:rPr>
              <w:t xml:space="preserve">总计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6周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13-15周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</w:tcPr>
          <w:p>
            <w:r>
              <w:t xml:space="preserve"/>
            </w:r>
          </w:p>
        </w:tc>
      </w:tr>
    </w:tbl>
    <w:p>
      <w:pPr>
        <w:spacing w:before="200" w:after="200"/>
        <w:jc w:val="center"/>
      </w:pPr>
      <w:r>
        <w:rPr>
          <w:color w:val="4A5548"/>
          <w:sz w:val="20"/>
          <w:szCs w:val="20"/>
        </w:rPr>
        <w:t xml:space="preserve">表 3: 开发计划调整建议</w:t>
      </w:r>
    </w:p>
    <w:p>
      <w:pPr>
        <w:pStyle w:val="Heading1"/>
      </w:pPr>
      <w:r>
        <w:t xml:space="preserve">四、风险评估补充</w:t>
      </w:r>
    </w:p>
    <w:p>
      <w:pPr>
        <w:pStyle w:val="Heading2"/>
      </w:pPr>
      <w:r>
        <w:t xml:space="preserve">4.1 未识别的风险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风险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等级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影响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缓解措施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Skill恶意代码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高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系统入侵、数据泄露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权限系统 + WASM沙箱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开发周期延误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高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项目延迟、成本超支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分阶段交付 + 缓冲时间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平台API变更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CA8A04"/>
              </w:rPr>
              <w:t xml:space="preserve">中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渠道层失效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抽象层 + 多平台SDK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OpenClaw生态变化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CA8A04"/>
              </w:rPr>
              <w:t xml:space="preserve">中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Skill格式不兼容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版本锁定 + 兼容层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许可证合规风险</w:t>
            </w:r>
          </w:p>
        </w:tc>
        <w:tc>
          <w:tcPr>
            <w:tcW w:type="dxa" w:w="156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CA8A04"/>
              </w:rPr>
              <w:t xml:space="preserve">中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法律纠纷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许可证声明 + 用户确认</w:t>
            </w:r>
          </w:p>
        </w:tc>
      </w:tr>
    </w:tbl>
    <w:p>
      <w:pPr>
        <w:spacing w:before="200" w:after="200"/>
        <w:jc w:val="center"/>
      </w:pPr>
      <w:r>
        <w:rPr>
          <w:color w:val="4A5548"/>
          <w:sz w:val="20"/>
          <w:szCs w:val="20"/>
        </w:rPr>
        <w:t xml:space="preserve">表 4: 补充风险评估</w:t>
      </w:r>
    </w:p>
    <w:p>
      <w:pPr>
        <w:pStyle w:val="Heading1"/>
      </w:pPr>
      <w:r>
        <w:t xml:space="preserve">五、总结与建议</w:t>
      </w:r>
    </w:p>
    <w:p>
      <w:pPr>
        <w:pStyle w:val="Heading2"/>
      </w:pPr>
      <w:r>
        <w:t xml:space="preserve">5.1 企划评价</w:t>
      </w:r>
    </w:p>
    <w:p>
      <w:pPr>
        <w:spacing w:after="200"/>
        <w:ind w:firstLine="480"/>
      </w:pPr>
      <w:r>
        <w:t xml:space="preserve">Kimi整合的企划文档</w:t>
      </w:r>
      <w:r>
        <w:rPr>
          <w:b/>
          <w:bCs/>
          <w:color w:val="16A34A"/>
        </w:rPr>
        <w:t xml:space="preserve">质量较高</w:t>
      </w:r>
      <w:r>
        <w:t xml:space="preserve">，技术分析深入，方案设计合理。主要优点包括：</w:t>
      </w:r>
    </w:p>
    <w:p>
      <w:pPr>
        <w:pStyle w:val="ListParagraph"/>
        <w:numPr>
          <w:ilvl w:val="0"/>
          <w:numId w:val="4"/>
        </w:numPr>
      </w:pPr>
      <w:r>
        <w:t xml:space="preserve">正确选择了“直接接入Skill”方案，避免了Gateway集成的复杂性</w:t>
      </w:r>
    </w:p>
    <w:p>
      <w:pPr>
        <w:pStyle w:val="ListParagraph"/>
        <w:numPr>
          <w:ilvl w:val="0"/>
          <w:numId w:val="4"/>
        </w:numPr>
      </w:pPr>
      <w:r>
        <w:t xml:space="preserve">详细的技术实现方案，包含代码示例</w:t>
      </w:r>
    </w:p>
    <w:p>
      <w:pPr>
        <w:pStyle w:val="ListParagraph"/>
        <w:numPr>
          <w:ilvl w:val="0"/>
          <w:numId w:val="4"/>
        </w:numPr>
      </w:pPr>
      <w:r>
        <w:t xml:space="preserve">考虑了开源责任风险，提出了许可证声明方桅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功能覆盖分析清晰，明确指出需要开发的部分</w:t>
      </w:r>
    </w:p>
    <w:p>
      <w:pPr>
        <w:pStyle w:val="Heading2"/>
      </w:pPr>
      <w:r>
        <w:t xml:space="preserve">5.2 主要不足</w:t>
      </w:r>
    </w:p>
    <w:p>
      <w:pPr>
        <w:pStyle w:val="ListParagraph"/>
        <w:numPr>
          <w:ilvl w:val="0"/>
          <w:numId w:val="5"/>
        </w:numPr>
      </w:pPr>
      <w:r>
        <w:rPr>
          <w:color w:val="DC2626"/>
        </w:rPr>
        <w:t xml:space="preserve">工作量估算过于乐观</w:t>
      </w:r>
      <w:r>
        <w:t xml:space="preserve"> - 实际需要13-15周，而非4-6周</w:t>
      </w:r>
    </w:p>
    <w:p>
      <w:pPr>
        <w:pStyle w:val="ListParagraph"/>
        <w:numPr>
          <w:ilvl w:val="0"/>
          <w:numId w:val="5"/>
        </w:numPr>
      </w:pPr>
      <w:r>
        <w:rPr>
          <w:color w:val="DC2626"/>
        </w:rPr>
        <w:t xml:space="preserve">未考虑弱网场景</w:t>
      </w:r>
      <w:r>
        <w:t xml:space="preserve"> - 这是数字游民的核心需求</w:t>
      </w:r>
    </w:p>
    <w:p>
      <w:pPr>
        <w:pStyle w:val="ListParagraph"/>
        <w:numPr>
          <w:ilvl w:val="0"/>
          <w:numId w:val="5"/>
        </w:numPr>
      </w:pPr>
      <w:r>
        <w:rPr>
          <w:color w:val="CA8A04"/>
        </w:rPr>
        <w:t xml:space="preserve">Skill安全边界不清晰</w:t>
      </w:r>
      <w:r>
        <w:t xml:space="preserve"> - 需要更细粒度的权限控制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color w:val="CA8A04"/>
        </w:rPr>
        <w:t xml:space="preserve">消息渠道层复杂度低估</w:t>
      </w:r>
      <w:r>
        <w:t xml:space="preserve"> - 每个平台都有其特有复杂性</w:t>
      </w:r>
    </w:p>
    <w:p>
      <w:pPr>
        <w:pStyle w:val="Heading2"/>
      </w:pPr>
      <w:r>
        <w:t xml:space="preserve">5.3 最终建议</w:t>
      </w:r>
    </w:p>
    <w:p>
      <w:pPr>
        <w:spacing w:after="200"/>
        <w:ind w:firstLine="480"/>
      </w:pPr>
      <w:r>
        <w:rPr>
          <w:b/>
          <w:bCs/>
          <w:color w:val="16A34A"/>
        </w:rPr>
        <w:t xml:space="preserve">推荐实施</w:t>
      </w:r>
      <w:r>
        <w:t xml:space="preserve">，但需要调整计划和增加关键模块。建议分三个阶段实施：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MVP阶段（4-5周）：</w:t>
      </w:r>
      <w:r>
        <w:t xml:space="preserve">Skill解析器 + 基础工具映射 + 与Summarize等简单Skill集成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渠道阶段（4-5周）：</w:t>
      </w:r>
      <w:r>
        <w:t xml:space="preserve">Telegram/Discord渠道 + 基础IM路由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弱网阶段（2-3周）：</w:t>
      </w:r>
      <w:r>
        <w:t xml:space="preserve">离线队列 + 云端信令 + 异构任务路由</w:t>
      </w:r>
    </w:p>
    <w:p>
      <w:pPr>
        <w:spacing w:after="200"/>
        <w:ind w:firstLine="480"/>
      </w:pPr>
      <w:r>
        <w:rPr>
          <w:b/>
          <w:bCs/>
        </w:rPr>
        <w:t xml:space="preserve">总估算：</w:t>
      </w:r>
      <w:r>
        <w:t xml:space="preserve">10-13周，比原企划估算多2周，但比Gateway集成方案（11周）仍有优势，且功能更完善。</w:t>
      </w:r>
    </w:p>
    <w:sectPr>
      <w:headerReference w:type="default" r:id="rId6"/>
      <w:footerReference w:type="default" r:id="rId7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48"/>
      </w:rPr>
      <w:t xml:space="preserve">— </w:t>
    </w:r>
    <w:r>
      <w:rPr>
        <w:color w:val="4A5548"/>
      </w:rPr>
      <w:fldChar w:fldCharType="begin"/>
      <w:instrText xml:space="preserve">PAGE</w:instrText>
      <w:fldChar w:fldCharType="separate"/>
      <w:fldChar w:fldCharType="end"/>
    </w:r>
    <w:r>
      <w:rPr>
        <w:color w:val="4A554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Hei" w:cs="SimHei" w:eastAsia="SimHei" w:hAnsi="SimHei"/>
        <w:color w:val="4A5548"/>
        <w:sz w:val="20"/>
        <w:szCs w:val="20"/>
      </w:rPr>
      <w:t xml:space="preserve">CIS+OpenClaw 企划评判与补充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SimHei" w:cs="SimHei" w:eastAsia="SimHei" w:hAnsi="SimHei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imHei" w:cs="SimHei" w:eastAsia="SimHei" w:hAnsi="SimHei"/>
      <w:b/>
      <w:bCs/>
      <w:color w:val="1A1F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SimHei" w:cs="SimHei" w:eastAsia="SimHei" w:hAnsi="SimHei"/>
      <w:b/>
      <w:bCs/>
      <w:color w:val="2D332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2026-02-17T07:18:58.383Z</dcterms:created>
  <dcterms:modified xsi:type="dcterms:W3CDTF">2026-02-17T07:18:58.383Z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