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4D75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b/>
          <w:sz w:val="22"/>
        </w:rPr>
        <w:t>Response to Reviewer Comment on Systematic Justification of the Five-Dimension Framework</w:t>
      </w:r>
    </w:p>
    <w:p w14:paraId="10EC7738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sz w:val="22"/>
        </w:rPr>
        <w:t>Manuscript: “Making the Elephant Dance: Five Dimensions for Digital Government Transformation”</w:t>
      </w:r>
    </w:p>
    <w:p w14:paraId="5AA66088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sz w:val="22"/>
        </w:rPr>
        <w:t>Journal: Public Administration Review</w:t>
      </w:r>
    </w:p>
    <w:p w14:paraId="3BD21C4B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sz w:val="22"/>
        </w:rPr>
        <w:t>Date: 2025-12-13</w:t>
      </w:r>
    </w:p>
    <w:p w14:paraId="06944FC0" w14:textId="77777777" w:rsidR="00C67F67" w:rsidRPr="00C054AC" w:rsidRDefault="00C67F67" w:rsidP="00184E7D">
      <w:pPr>
        <w:jc w:val="both"/>
        <w:rPr>
          <w:sz w:val="22"/>
        </w:rPr>
      </w:pPr>
    </w:p>
    <w:p w14:paraId="02C43ED0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b/>
          <w:sz w:val="22"/>
        </w:rPr>
        <w:t xml:space="preserve">Reviewer comment: </w:t>
      </w:r>
      <w:r w:rsidRPr="00C054AC">
        <w:rPr>
          <w:sz w:val="22"/>
        </w:rPr>
        <w:t>“The theoretical framework lacks systematic justification… A more systematic literature review, such as coding or thematic analysis, may strengthen the scientific basis of the framework.”</w:t>
      </w:r>
    </w:p>
    <w:p w14:paraId="3DAA5EAB" w14:textId="77777777" w:rsidR="00C67F67" w:rsidRPr="00C054AC" w:rsidRDefault="00C67F67" w:rsidP="00184E7D">
      <w:pPr>
        <w:jc w:val="both"/>
        <w:rPr>
          <w:sz w:val="22"/>
        </w:rPr>
      </w:pPr>
    </w:p>
    <w:p w14:paraId="2520E279" w14:textId="0D5D1A5D" w:rsidR="00A0284B" w:rsidRPr="00480BE2" w:rsidRDefault="00A0284B" w:rsidP="00184E7D">
      <w:pPr>
        <w:adjustRightInd w:val="0"/>
        <w:snapToGrid w:val="0"/>
        <w:spacing w:line="300" w:lineRule="auto"/>
        <w:jc w:val="both"/>
        <w:rPr>
          <w:rFonts w:asciiTheme="majorBidi" w:eastAsia="宋体" w:hAnsiTheme="majorBidi" w:cstheme="majorBidi"/>
          <w:sz w:val="22"/>
          <w:lang w:eastAsia="zh-CN"/>
        </w:rPr>
      </w:pPr>
      <w:r w:rsidRPr="00C054AC">
        <w:rPr>
          <w:rFonts w:asciiTheme="majorBidi" w:hAnsiTheme="majorBidi" w:cstheme="majorBidi"/>
          <w:sz w:val="22"/>
        </w:rPr>
        <w:t>We thank the reviewer for this valuable suggestion.</w:t>
      </w:r>
      <w:r w:rsidRPr="00C054AC">
        <w:rPr>
          <w:rFonts w:asciiTheme="majorBidi" w:hAnsiTheme="majorBidi" w:cstheme="majorBidi" w:hint="eastAsia"/>
          <w:sz w:val="22"/>
        </w:rPr>
        <w:t xml:space="preserve"> </w:t>
      </w:r>
      <w:r w:rsidRPr="00C054AC">
        <w:rPr>
          <w:rFonts w:asciiTheme="majorBidi" w:hAnsiTheme="majorBidi" w:cstheme="majorBidi"/>
          <w:sz w:val="22"/>
        </w:rPr>
        <w:t xml:space="preserve">We have revised the manuscript to strengthen the scientific basis </w:t>
      </w:r>
      <w:r w:rsidRPr="00C054AC">
        <w:rPr>
          <w:rFonts w:asciiTheme="majorBidi" w:hAnsiTheme="majorBidi" w:cstheme="majorBidi" w:hint="eastAsia"/>
          <w:sz w:val="22"/>
          <w:lang w:eastAsia="zh-CN"/>
        </w:rPr>
        <w:t>of</w:t>
      </w:r>
      <w:r w:rsidRPr="00C054AC">
        <w:rPr>
          <w:rFonts w:asciiTheme="majorBidi" w:hAnsiTheme="majorBidi" w:cstheme="majorBidi" w:hint="eastAsia"/>
          <w:sz w:val="22"/>
        </w:rPr>
        <w:t xml:space="preserve"> the theoretical </w:t>
      </w:r>
      <w:r w:rsidRPr="00C054AC">
        <w:rPr>
          <w:rFonts w:asciiTheme="majorBidi" w:hAnsiTheme="majorBidi" w:cstheme="majorBidi"/>
          <w:sz w:val="22"/>
        </w:rPr>
        <w:t>framework</w:t>
      </w:r>
      <w:r w:rsidRPr="00C054AC">
        <w:rPr>
          <w:rFonts w:asciiTheme="majorBidi" w:hAnsiTheme="majorBidi" w:cstheme="majorBidi" w:hint="eastAsia"/>
          <w:sz w:val="22"/>
        </w:rPr>
        <w:t xml:space="preserve"> by </w:t>
      </w:r>
      <w:r w:rsidRPr="00C054AC">
        <w:rPr>
          <w:rFonts w:asciiTheme="majorBidi" w:hAnsiTheme="majorBidi" w:cstheme="majorBidi"/>
          <w:sz w:val="22"/>
        </w:rPr>
        <w:t>combining theory-informed conceptual scoping with a data-driven mapping of the thematic structure</w:t>
      </w:r>
      <w:r w:rsidRPr="00C054AC">
        <w:rPr>
          <w:rFonts w:asciiTheme="majorBidi" w:hAnsiTheme="majorBidi" w:cstheme="majorBidi" w:hint="eastAsia"/>
          <w:sz w:val="22"/>
        </w:rPr>
        <w:t xml:space="preserve"> from </w:t>
      </w:r>
      <w:r w:rsidRPr="00C054AC">
        <w:rPr>
          <w:rFonts w:asciiTheme="majorBidi" w:hAnsiTheme="majorBidi" w:cstheme="majorBidi"/>
          <w:sz w:val="22"/>
        </w:rPr>
        <w:t>literature</w:t>
      </w:r>
      <w:r w:rsidRPr="00C054AC">
        <w:rPr>
          <w:rFonts w:asciiTheme="majorBidi" w:hAnsiTheme="majorBidi" w:cstheme="majorBidi" w:hint="eastAsia"/>
          <w:sz w:val="22"/>
        </w:rPr>
        <w:t>.</w:t>
      </w:r>
    </w:p>
    <w:p w14:paraId="799CFA5E" w14:textId="1185B1A3" w:rsidR="00A0284B" w:rsidRPr="00D76337" w:rsidRDefault="00A0284B" w:rsidP="00D76337">
      <w:pPr>
        <w:adjustRightInd w:val="0"/>
        <w:snapToGrid w:val="0"/>
        <w:spacing w:line="300" w:lineRule="auto"/>
        <w:jc w:val="both"/>
        <w:rPr>
          <w:rFonts w:asciiTheme="majorBidi" w:hAnsiTheme="majorBidi" w:cstheme="majorBidi"/>
          <w:sz w:val="22"/>
        </w:rPr>
      </w:pPr>
      <w:r w:rsidRPr="00D76337">
        <w:rPr>
          <w:rFonts w:asciiTheme="majorBidi" w:hAnsiTheme="majorBidi" w:cstheme="majorBidi"/>
          <w:sz w:val="22"/>
        </w:rPr>
        <w:t>Concretely, we conducted a structured keyword-based search to compile a corpus of 87 peer-reviewed studies on digital government transformation and bureaucratic change</w:t>
      </w:r>
      <w:r w:rsidRPr="00D76337">
        <w:rPr>
          <w:rFonts w:asciiTheme="majorBidi" w:hAnsiTheme="majorBidi" w:cstheme="majorBidi" w:hint="eastAsia"/>
          <w:sz w:val="22"/>
        </w:rPr>
        <w:t xml:space="preserve">. </w:t>
      </w:r>
      <w:r w:rsidR="00D76337" w:rsidRPr="00D76337">
        <w:rPr>
          <w:rFonts w:asciiTheme="majorBidi" w:hAnsiTheme="majorBidi" w:cstheme="majorBidi"/>
          <w:sz w:val="22"/>
        </w:rPr>
        <w:t xml:space="preserve">Prior to the analysis, we employed TF-IDF (Term Frequency–Inverse Document Frequency) weighting to mathematically distinguish significant thematic keywords from generic administrative terminology, ensuring that the extracted topics reflected genuine theoretical variance rather than mere lexical repetition. </w:t>
      </w:r>
      <w:r w:rsidRPr="00D76337">
        <w:rPr>
          <w:rFonts w:asciiTheme="majorBidi" w:hAnsiTheme="majorBidi" w:cstheme="majorBidi" w:hint="eastAsia"/>
          <w:sz w:val="22"/>
        </w:rPr>
        <w:t>More specifically</w:t>
      </w:r>
      <w:r w:rsidRPr="00D76337">
        <w:rPr>
          <w:rFonts w:asciiTheme="majorBidi" w:hAnsiTheme="majorBidi" w:cstheme="majorBidi"/>
          <w:sz w:val="22"/>
        </w:rPr>
        <w:t xml:space="preserve">, we </w:t>
      </w:r>
      <w:r w:rsidR="00D76337" w:rsidRPr="00D76337">
        <w:rPr>
          <w:rFonts w:asciiTheme="majorBidi" w:hAnsiTheme="majorBidi" w:cstheme="majorBidi"/>
          <w:sz w:val="22"/>
        </w:rPr>
        <w:t xml:space="preserve">then </w:t>
      </w:r>
      <w:r w:rsidRPr="00D76337">
        <w:rPr>
          <w:rFonts w:asciiTheme="majorBidi" w:hAnsiTheme="majorBidi" w:cstheme="majorBidi"/>
          <w:sz w:val="22"/>
        </w:rPr>
        <w:t xml:space="preserve">supplemented our theoretical approach with a systematic text mining analysis using Non-Negative Matrix Factorization (NMF) on </w:t>
      </w:r>
      <w:r w:rsidRPr="00D76337">
        <w:rPr>
          <w:rFonts w:asciiTheme="majorBidi" w:hAnsiTheme="majorBidi" w:cstheme="majorBidi" w:hint="eastAsia"/>
          <w:sz w:val="22"/>
        </w:rPr>
        <w:t>the</w:t>
      </w:r>
      <w:r w:rsidR="0086394A" w:rsidRPr="00D76337">
        <w:rPr>
          <w:rFonts w:asciiTheme="majorBidi" w:eastAsia="宋体" w:hAnsiTheme="majorBidi" w:cstheme="majorBidi" w:hint="eastAsia"/>
          <w:sz w:val="22"/>
          <w:lang w:eastAsia="zh-CN"/>
        </w:rPr>
        <w:t xml:space="preserve"> </w:t>
      </w:r>
      <w:r w:rsidRPr="00D76337">
        <w:rPr>
          <w:rFonts w:asciiTheme="majorBidi" w:hAnsiTheme="majorBidi" w:cstheme="majorBidi"/>
          <w:sz w:val="22"/>
        </w:rPr>
        <w:t xml:space="preserve">articles. </w:t>
      </w:r>
      <w:r w:rsidR="0086394A" w:rsidRPr="00D76337">
        <w:rPr>
          <w:rFonts w:asciiTheme="majorBidi" w:eastAsia="宋体" w:hAnsiTheme="majorBidi" w:cstheme="majorBidi" w:hint="eastAsia"/>
          <w:sz w:val="22"/>
          <w:lang w:eastAsia="zh-CN"/>
        </w:rPr>
        <w:t xml:space="preserve">The NMF was </w:t>
      </w:r>
      <w:r w:rsidRPr="00D76337">
        <w:rPr>
          <w:rFonts w:asciiTheme="majorBidi" w:hAnsiTheme="majorBidi" w:cstheme="majorBidi"/>
          <w:sz w:val="22"/>
        </w:rPr>
        <w:t xml:space="preserve">selected for its superior interpretability; unlike other dimensionality reduction techniques, NMF extracts topics based on additive, non-negative keyword associations, which produces clear and distinct thematic clusters. </w:t>
      </w:r>
    </w:p>
    <w:p w14:paraId="4B27A6AF" w14:textId="09C3CD7E" w:rsidR="0086394A" w:rsidRDefault="00000000" w:rsidP="00184E7D">
      <w:pPr>
        <w:jc w:val="both"/>
        <w:rPr>
          <w:rFonts w:eastAsia="宋体"/>
          <w:sz w:val="22"/>
          <w:lang w:eastAsia="zh-CN"/>
        </w:rPr>
      </w:pPr>
      <w:r w:rsidRPr="00C054AC">
        <w:rPr>
          <w:sz w:val="22"/>
        </w:rPr>
        <w:t>We interpreted the top-weight terms for each topic and consolidated topics into higher-order categories through an iterative thematic synthesis (constant comparison and axial consolidation). This inductive consolidation converged on five stable higher-order dimensions</w:t>
      </w:r>
      <w:r w:rsidR="00324A50">
        <w:rPr>
          <w:rFonts w:eastAsia="宋体" w:hint="eastAsia"/>
          <w:sz w:val="22"/>
          <w:lang w:eastAsia="zh-CN"/>
        </w:rPr>
        <w:t xml:space="preserve">: </w:t>
      </w:r>
      <w:r w:rsidRPr="00C054AC">
        <w:rPr>
          <w:sz w:val="22"/>
        </w:rPr>
        <w:t xml:space="preserve">Public Service Delivery, Government Organizational Structure, Government Operating Logic and Processes, Departmental Responsibilities and Administrative </w:t>
      </w:r>
      <w:r w:rsidR="0017414A">
        <w:rPr>
          <w:rFonts w:eastAsia="宋体" w:hint="eastAsia"/>
          <w:sz w:val="22"/>
          <w:lang w:eastAsia="zh-CN"/>
        </w:rPr>
        <w:t>Authority</w:t>
      </w:r>
      <w:r w:rsidRPr="00C054AC">
        <w:rPr>
          <w:sz w:val="22"/>
        </w:rPr>
        <w:t>, and Leadership</w:t>
      </w:r>
      <w:r w:rsidR="00324A50">
        <w:rPr>
          <w:rFonts w:eastAsia="宋体" w:hint="eastAsia"/>
          <w:sz w:val="22"/>
          <w:lang w:eastAsia="zh-CN"/>
        </w:rPr>
        <w:t>. T</w:t>
      </w:r>
      <w:r w:rsidR="00324A50">
        <w:rPr>
          <w:rFonts w:eastAsia="宋体"/>
          <w:sz w:val="22"/>
          <w:lang w:eastAsia="zh-CN"/>
        </w:rPr>
        <w:t>h</w:t>
      </w:r>
      <w:r w:rsidR="00324A50">
        <w:rPr>
          <w:rFonts w:eastAsia="宋体" w:hint="eastAsia"/>
          <w:sz w:val="22"/>
          <w:lang w:eastAsia="zh-CN"/>
        </w:rPr>
        <w:t>e five dimensions</w:t>
      </w:r>
      <w:r w:rsidRPr="00C054AC">
        <w:rPr>
          <w:sz w:val="22"/>
        </w:rPr>
        <w:t xml:space="preserve"> repeatedly capture the dominant objects and drivers of bureaucratic change discussed in the literature.</w:t>
      </w:r>
    </w:p>
    <w:p w14:paraId="4D76821B" w14:textId="77777777" w:rsidR="00D76337" w:rsidRDefault="00000000" w:rsidP="00184E7D">
      <w:pPr>
        <w:jc w:val="both"/>
        <w:rPr>
          <w:rFonts w:eastAsia="宋体"/>
          <w:sz w:val="22"/>
          <w:lang w:eastAsia="zh-CN"/>
        </w:rPr>
      </w:pPr>
      <w:r w:rsidRPr="00C054AC">
        <w:rPr>
          <w:sz w:val="22"/>
        </w:rPr>
        <w:t xml:space="preserve">To test whether these five dimensions were an artifact of a particular topic-number choice, we re-estimated the topic model under multiple topic-number specifications (remembering that higher topic numbers increase granularity rather than fundamentally changing the thematic structure). Across specifications (e.g., 5, 10, </w:t>
      </w:r>
      <w:r w:rsidR="00982605">
        <w:rPr>
          <w:rFonts w:eastAsia="宋体" w:hint="eastAsia"/>
          <w:sz w:val="22"/>
          <w:lang w:eastAsia="zh-CN"/>
        </w:rPr>
        <w:t xml:space="preserve">12, </w:t>
      </w:r>
      <w:r w:rsidRPr="00C054AC">
        <w:rPr>
          <w:sz w:val="22"/>
        </w:rPr>
        <w:t xml:space="preserve">and 15 topics), we found that altering the number of topics primarily subdivided or merged subthemes, while the same five higher-order dimensions </w:t>
      </w:r>
      <w:r w:rsidRPr="00C054AC">
        <w:rPr>
          <w:sz w:val="22"/>
        </w:rPr>
        <w:lastRenderedPageBreak/>
        <w:t>consistently reappeared as the organizing structure. In other words, regardless of whether the model produces a coarser or a finer topic solution, the extracted topics can be systematically consolidated into the same five dimensions, and no persistent residual cluster emerges that would justify introducing an additional dimension.</w:t>
      </w:r>
    </w:p>
    <w:p w14:paraId="77C5788E" w14:textId="3332C5CE" w:rsidR="00D76337" w:rsidRDefault="00000000" w:rsidP="00184E7D">
      <w:pPr>
        <w:jc w:val="both"/>
        <w:rPr>
          <w:rFonts w:eastAsia="宋体"/>
          <w:sz w:val="22"/>
          <w:lang w:eastAsia="zh-CN"/>
        </w:rPr>
      </w:pPr>
      <w:r w:rsidRPr="00C054AC">
        <w:rPr>
          <w:sz w:val="22"/>
        </w:rPr>
        <w:t xml:space="preserve">As an illustrative example, we report the 10-topic solution in the response package. Figure R1 summarizes the top TF–IDF keywords in the corpus and shows the prominence of service-oriented, organizational, and governance-related language. Figure R2 shows the document distribution across the 10 NMF topics. Figure R3 then aggregates the topic assignments into the five higher-order dimensions; importantly, the unmapped category is zero (Unmapped = 0), indicating full coverage by the five dimensions. In the 10-topic solution, topics organized around citizen access, service provision, and service delivery consolidate into Public Service Delivery; topics emphasizing inter-agency collaboration, integration, and coordination consolidate into Government Organizational Structure; topics centered on automation, standardization, and workflow redesign consolidate into Government Operating Logic and Processes; topics clustering around discretion, accountability, and </w:t>
      </w:r>
      <w:r w:rsidR="0017414A">
        <w:rPr>
          <w:rFonts w:eastAsia="宋体" w:hint="eastAsia"/>
          <w:sz w:val="22"/>
          <w:lang w:eastAsia="zh-CN"/>
        </w:rPr>
        <w:t>authority</w:t>
      </w:r>
      <w:r w:rsidRPr="00C054AC">
        <w:rPr>
          <w:sz w:val="22"/>
        </w:rPr>
        <w:t xml:space="preserve"> allocation consolidate into Departmental Responsibilities and Administrative </w:t>
      </w:r>
      <w:r w:rsidR="0017414A">
        <w:rPr>
          <w:rFonts w:eastAsia="宋体" w:hint="eastAsia"/>
          <w:sz w:val="22"/>
          <w:lang w:eastAsia="zh-CN"/>
        </w:rPr>
        <w:t>Authority</w:t>
      </w:r>
      <w:r w:rsidRPr="00C054AC">
        <w:rPr>
          <w:sz w:val="22"/>
        </w:rPr>
        <w:t>; and topics featuring strategic commitment, transformational leadership, and political support consolidate into Leadership. Together, these revisions provide a systematic and replicable basis for the framework: the five dimensions emerge inductively from the literature’s topic structure and remain robust as the number of extracted topics varies.</w:t>
      </w:r>
    </w:p>
    <w:p w14:paraId="4BFEAD4D" w14:textId="3BD441E8" w:rsidR="00C67F67" w:rsidRPr="00966B24" w:rsidRDefault="00000000" w:rsidP="00966B24">
      <w:pPr>
        <w:jc w:val="both"/>
        <w:rPr>
          <w:rFonts w:eastAsia="宋体"/>
          <w:sz w:val="22"/>
          <w:shd w:val="pct15" w:color="auto" w:fill="FFFFFF"/>
          <w:lang w:eastAsia="zh-CN"/>
        </w:rPr>
      </w:pPr>
      <w:r w:rsidRPr="00966B24">
        <w:rPr>
          <w:sz w:val="22"/>
          <w:shd w:val="pct15" w:color="auto" w:fill="FFFFFF"/>
        </w:rPr>
        <w:t xml:space="preserve">To reflect this strengthened justification, we add a concise description of the literature-mapping procedure and robustness checks in the </w:t>
      </w:r>
      <w:r w:rsidRPr="00966B24">
        <w:rPr>
          <w:sz w:val="22"/>
          <w:highlight w:val="yellow"/>
          <w:shd w:val="pct15" w:color="auto" w:fill="FFFFFF"/>
        </w:rPr>
        <w:t>Analytical Framework</w:t>
      </w:r>
      <w:r w:rsidRPr="00966B24">
        <w:rPr>
          <w:sz w:val="22"/>
          <w:shd w:val="pct15" w:color="auto" w:fill="FFFFFF"/>
        </w:rPr>
        <w:t xml:space="preserve"> section, and we provide full procedural details and the topic-to-dimension consolidation outputs in </w:t>
      </w:r>
      <w:r w:rsidR="00966B24" w:rsidRPr="00966B24">
        <w:rPr>
          <w:rFonts w:eastAsia="宋体" w:hint="eastAsia"/>
          <w:sz w:val="22"/>
          <w:shd w:val="pct15" w:color="auto" w:fill="FFFFFF"/>
          <w:lang w:eastAsia="zh-CN"/>
        </w:rPr>
        <w:t xml:space="preserve">the </w:t>
      </w:r>
      <w:r w:rsidRPr="00966B24">
        <w:rPr>
          <w:sz w:val="22"/>
          <w:shd w:val="pct15" w:color="auto" w:fill="FFFFFF"/>
        </w:rPr>
        <w:t>appendix</w:t>
      </w:r>
      <w:r w:rsidR="00966B24" w:rsidRPr="00966B24">
        <w:rPr>
          <w:rFonts w:eastAsia="宋体" w:hint="eastAsia"/>
          <w:sz w:val="22"/>
          <w:shd w:val="pct15" w:color="auto" w:fill="FFFFFF"/>
          <w:lang w:eastAsia="zh-CN"/>
        </w:rPr>
        <w:t>.</w:t>
      </w:r>
    </w:p>
    <w:p w14:paraId="044B3207" w14:textId="77777777" w:rsidR="00C67F67" w:rsidRPr="00C054AC" w:rsidRDefault="00C67F67" w:rsidP="00184E7D">
      <w:pPr>
        <w:jc w:val="both"/>
        <w:rPr>
          <w:sz w:val="22"/>
        </w:rPr>
      </w:pPr>
    </w:p>
    <w:p w14:paraId="28614BEF" w14:textId="197FDD1F" w:rsidR="00C67F67" w:rsidRPr="00966B24" w:rsidRDefault="00000000" w:rsidP="00966B24">
      <w:pPr>
        <w:jc w:val="both"/>
        <w:rPr>
          <w:rFonts w:eastAsia="宋体"/>
          <w:sz w:val="22"/>
          <w:lang w:eastAsia="zh-CN"/>
        </w:rPr>
      </w:pPr>
      <w:r w:rsidRPr="00C054AC">
        <w:rPr>
          <w:b/>
          <w:sz w:val="22"/>
        </w:rPr>
        <w:t xml:space="preserve">Illustrative example (NMF with 10 topics). </w:t>
      </w:r>
      <w:r w:rsidRPr="00C054AC">
        <w:rPr>
          <w:sz w:val="22"/>
        </w:rPr>
        <w:t>The following figures are included to document the intermediate outputs and the consolidation from multiple topics into the five dimensions.</w:t>
      </w:r>
    </w:p>
    <w:p w14:paraId="37AACE77" w14:textId="5EF99CB9" w:rsidR="00C67F67" w:rsidRPr="00C054AC" w:rsidRDefault="00A8059E" w:rsidP="00184E7D">
      <w:pPr>
        <w:jc w:val="both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04CA90DF" wp14:editId="27A29C84">
            <wp:extent cx="5486400" cy="3399790"/>
            <wp:effectExtent l="0" t="0" r="0" b="0"/>
            <wp:docPr id="202593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7F60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i/>
          <w:sz w:val="22"/>
        </w:rPr>
        <w:t>Figure R1. Top 15 keywords by mean TF–IDF weight in the 87-article corpus.</w:t>
      </w:r>
    </w:p>
    <w:p w14:paraId="03865F0B" w14:textId="77777777" w:rsidR="00C67F67" w:rsidRPr="00C054AC" w:rsidRDefault="00C67F67" w:rsidP="00184E7D">
      <w:pPr>
        <w:jc w:val="both"/>
        <w:rPr>
          <w:sz w:val="22"/>
        </w:rPr>
      </w:pPr>
    </w:p>
    <w:p w14:paraId="54F8E251" w14:textId="4FD56041" w:rsidR="00C67F67" w:rsidRPr="00C054AC" w:rsidRDefault="00A8059E" w:rsidP="00184E7D">
      <w:pPr>
        <w:jc w:val="both"/>
        <w:rPr>
          <w:sz w:val="22"/>
        </w:rPr>
      </w:pPr>
      <w:r>
        <w:rPr>
          <w:noProof/>
        </w:rPr>
        <w:drawing>
          <wp:inline distT="0" distB="0" distL="0" distR="0" wp14:anchorId="4477AD4F" wp14:editId="1FF35E37">
            <wp:extent cx="5486400" cy="3135630"/>
            <wp:effectExtent l="0" t="0" r="0" b="7620"/>
            <wp:docPr id="17498824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158A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i/>
          <w:sz w:val="22"/>
        </w:rPr>
        <w:t>Figure R2. Document distribution across the 10 NMF topics (n_topics = 10).</w:t>
      </w:r>
    </w:p>
    <w:p w14:paraId="3CBA405A" w14:textId="77777777" w:rsidR="00C67F67" w:rsidRPr="00C054AC" w:rsidRDefault="00C67F67" w:rsidP="00184E7D">
      <w:pPr>
        <w:jc w:val="both"/>
        <w:rPr>
          <w:sz w:val="22"/>
        </w:rPr>
      </w:pPr>
    </w:p>
    <w:p w14:paraId="504381DA" w14:textId="5E964AB5" w:rsidR="00C67F67" w:rsidRPr="00C054AC" w:rsidRDefault="00701008" w:rsidP="00184E7D">
      <w:pPr>
        <w:jc w:val="both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10CD4D5B" wp14:editId="0CDE1ECA">
            <wp:extent cx="5486400" cy="3065145"/>
            <wp:effectExtent l="0" t="0" r="0" b="1905"/>
            <wp:docPr id="55591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7B23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i/>
          <w:sz w:val="22"/>
        </w:rPr>
        <w:t>Figure R3. Document distribution aggregated from the 10 topics into the five dimensions; Unmapped = 0 (coverage-complete mapping).</w:t>
      </w:r>
    </w:p>
    <w:p w14:paraId="5A55B99E" w14:textId="77777777" w:rsidR="00C67F67" w:rsidRPr="00C054AC" w:rsidRDefault="00C67F67" w:rsidP="00184E7D">
      <w:pPr>
        <w:jc w:val="both"/>
        <w:rPr>
          <w:sz w:val="22"/>
        </w:rPr>
      </w:pPr>
    </w:p>
    <w:p w14:paraId="25BEBC50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b/>
          <w:sz w:val="22"/>
        </w:rPr>
        <w:t>Revisions made in the manuscript</w:t>
      </w:r>
    </w:p>
    <w:p w14:paraId="214B21B4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sz w:val="22"/>
        </w:rPr>
        <w:t>In the revised manuscript, we adjust the framework-development narrative to make the derivation logic explicit. First, in Section 2 (Analytical Framework), immediately before the formal definition of the five dimensions, we add a short subsection titled “Inductive derivation and robustness of the five dimensions.” This subsection explains that the framework emerged from a two-stage procedure in which (a) NMF topic modeling was used to extract latent topics from a systematically assembled literature corpus and (b) those topics were iteratively consolidated into five higher-order dimensions through thematic synthesis. Second, we add one paragraph reporting the robustness checks across alternative topic numbers, emphasizing that topic-number variation changes granularity but does not yield an additional stable higher-order dimension. Third, to preserve readability, we move full methodological details—including the search protocol, preprocessing, NMF settings, alternative topic-number solutions, and the topic-to-dimension consolidation outputs—into an online appendix, where we also provide a compact topic-to-dimension table for the 10-topic solution and a short summary of coverage completeness (Unmapped = 0).</w:t>
      </w:r>
    </w:p>
    <w:p w14:paraId="5A58CBA8" w14:textId="77777777" w:rsidR="00C67F67" w:rsidRPr="00C054AC" w:rsidRDefault="00C67F67" w:rsidP="00184E7D">
      <w:pPr>
        <w:jc w:val="both"/>
        <w:rPr>
          <w:sz w:val="22"/>
        </w:rPr>
      </w:pPr>
    </w:p>
    <w:p w14:paraId="1B89E0FF" w14:textId="77777777" w:rsidR="00C67F67" w:rsidRPr="00C054AC" w:rsidRDefault="00000000" w:rsidP="00184E7D">
      <w:pPr>
        <w:jc w:val="both"/>
        <w:rPr>
          <w:sz w:val="22"/>
        </w:rPr>
      </w:pPr>
      <w:r w:rsidRPr="00C054AC">
        <w:rPr>
          <w:b/>
          <w:sz w:val="22"/>
        </w:rPr>
        <w:t>Text added to the manuscript (ready to paste)</w:t>
      </w:r>
    </w:p>
    <w:p w14:paraId="13895EDF" w14:textId="0BDDD47D" w:rsidR="00C67F67" w:rsidRPr="00C054AC" w:rsidRDefault="00000000" w:rsidP="00184E7D">
      <w:pPr>
        <w:jc w:val="both"/>
        <w:rPr>
          <w:sz w:val="22"/>
        </w:rPr>
      </w:pPr>
      <w:r w:rsidRPr="00C054AC">
        <w:rPr>
          <w:sz w:val="22"/>
        </w:rPr>
        <w:t xml:space="preserve">To strengthen the scientific basis of the analytical framework and assess whether additional dimensions are warranted, we complemented theory-informed scoping with an inductive literature-mapping exercise. We compiled a corpus of 87 peer-reviewed studies on digital </w:t>
      </w:r>
      <w:r w:rsidRPr="00C054AC">
        <w:rPr>
          <w:sz w:val="22"/>
        </w:rPr>
        <w:lastRenderedPageBreak/>
        <w:t xml:space="preserve">government transformation and bureaucratic change identified through structured keyword searches and screening. Using TF–IDF features (1–3 grams), we applied Non-Negative Matrix Factorization topic modeling to extract latent topics that represent recurring conceptual clusters in the corpus. We then interpreted the highest-weight terms for each topic and consolidated topics into higher-order categories through iterative thematic synthesis (constant comparison and axial consolidation). This inductive process converged on five stable higher-order dimensions—Public Service Delivery, Government Organizational Structure, Government Operating Logic and Processes, Departmental Responsibilities and Administrative </w:t>
      </w:r>
      <w:r w:rsidR="0017414A">
        <w:rPr>
          <w:rFonts w:eastAsia="宋体" w:hint="eastAsia"/>
          <w:sz w:val="22"/>
          <w:lang w:eastAsia="zh-CN"/>
        </w:rPr>
        <w:t>Authority</w:t>
      </w:r>
      <w:r w:rsidRPr="00C054AC">
        <w:rPr>
          <w:sz w:val="22"/>
        </w:rPr>
        <w:t>, and Leadership.</w:t>
      </w:r>
      <w:r w:rsidRPr="00C054AC">
        <w:rPr>
          <w:sz w:val="22"/>
        </w:rPr>
        <w:br/>
      </w:r>
      <w:r w:rsidRPr="00C054AC">
        <w:rPr>
          <w:sz w:val="22"/>
        </w:rPr>
        <w:br/>
        <w:t>We assessed robustness by re-estimating models under multiple topic-number specifications (e.g., 5, 10, and 15 topics). Across specifications, varying the number of topics primarily affected the granularity of subthemes, while the same five higher-order dimensions consistently reappeared as the organizing structure. No persistent residual topic cluster emerged that would justify a sixth dimension. Full methodological details and topic-to-dimension consolidation outputs are provided in the online appendix.</w:t>
      </w:r>
    </w:p>
    <w:sectPr w:rsidR="00C67F67" w:rsidRPr="00C05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92F2" w14:textId="77777777" w:rsidR="002A36D8" w:rsidRDefault="002A36D8" w:rsidP="00701008">
      <w:pPr>
        <w:spacing w:after="0" w:line="240" w:lineRule="auto"/>
      </w:pPr>
      <w:r>
        <w:separator/>
      </w:r>
    </w:p>
  </w:endnote>
  <w:endnote w:type="continuationSeparator" w:id="0">
    <w:p w14:paraId="764BA77D" w14:textId="77777777" w:rsidR="002A36D8" w:rsidRDefault="002A36D8" w:rsidP="0070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3505" w14:textId="77777777" w:rsidR="002A36D8" w:rsidRDefault="002A36D8" w:rsidP="00701008">
      <w:pPr>
        <w:spacing w:after="0" w:line="240" w:lineRule="auto"/>
      </w:pPr>
      <w:r>
        <w:separator/>
      </w:r>
    </w:p>
  </w:footnote>
  <w:footnote w:type="continuationSeparator" w:id="0">
    <w:p w14:paraId="4F98A3B7" w14:textId="77777777" w:rsidR="002A36D8" w:rsidRDefault="002A36D8" w:rsidP="00701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658499">
    <w:abstractNumId w:val="8"/>
  </w:num>
  <w:num w:numId="2" w16cid:durableId="945191859">
    <w:abstractNumId w:val="6"/>
  </w:num>
  <w:num w:numId="3" w16cid:durableId="2053724502">
    <w:abstractNumId w:val="5"/>
  </w:num>
  <w:num w:numId="4" w16cid:durableId="1035353091">
    <w:abstractNumId w:val="4"/>
  </w:num>
  <w:num w:numId="5" w16cid:durableId="671496295">
    <w:abstractNumId w:val="7"/>
  </w:num>
  <w:num w:numId="6" w16cid:durableId="1125924323">
    <w:abstractNumId w:val="3"/>
  </w:num>
  <w:num w:numId="7" w16cid:durableId="1491480758">
    <w:abstractNumId w:val="2"/>
  </w:num>
  <w:num w:numId="8" w16cid:durableId="733087894">
    <w:abstractNumId w:val="1"/>
  </w:num>
  <w:num w:numId="9" w16cid:durableId="53365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4A"/>
    <w:rsid w:val="00184E7D"/>
    <w:rsid w:val="00282C19"/>
    <w:rsid w:val="0029639D"/>
    <w:rsid w:val="002A36D8"/>
    <w:rsid w:val="00324A50"/>
    <w:rsid w:val="00326F90"/>
    <w:rsid w:val="00480BE2"/>
    <w:rsid w:val="00701008"/>
    <w:rsid w:val="0086394A"/>
    <w:rsid w:val="008F6C05"/>
    <w:rsid w:val="00966B24"/>
    <w:rsid w:val="00982605"/>
    <w:rsid w:val="00A0284B"/>
    <w:rsid w:val="00A8059E"/>
    <w:rsid w:val="00AA1D8D"/>
    <w:rsid w:val="00AA69F2"/>
    <w:rsid w:val="00B47730"/>
    <w:rsid w:val="00B80C06"/>
    <w:rsid w:val="00C054AC"/>
    <w:rsid w:val="00C67F67"/>
    <w:rsid w:val="00CB0664"/>
    <w:rsid w:val="00D76337"/>
    <w:rsid w:val="00E23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59F053"/>
  <w14:defaultImageDpi w14:val="300"/>
  <w15:docId w15:val="{E0B46A81-EE6F-455D-948E-CD75BB89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 Yan</cp:lastModifiedBy>
  <cp:revision>18</cp:revision>
  <dcterms:created xsi:type="dcterms:W3CDTF">2013-12-23T23:15:00Z</dcterms:created>
  <dcterms:modified xsi:type="dcterms:W3CDTF">2025-12-13T10:27:00Z</dcterms:modified>
  <cp:category/>
</cp:coreProperties>
</file>