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0" w:type="auto"/>
        <w:tblLook w:val="04A0" w:firstRow="1" w:lastRow="0" w:firstColumn="1" w:lastColumn="0" w:noHBand="0" w:noVBand="1"/>
      </w:tblPr>
      <w:tblGrid>
        <w:gridCol w:w="704"/>
        <w:gridCol w:w="7592"/>
      </w:tblGrid>
      <w:tr w:rsidR="004E22F8" w14:paraId="1968CC45" w14:textId="77777777" w:rsidTr="004E22F8">
        <w:tc>
          <w:tcPr>
            <w:tcW w:w="704" w:type="dxa"/>
          </w:tcPr>
          <w:p w14:paraId="041CA5C8" w14:textId="10FDB38D" w:rsidR="004E22F8" w:rsidRDefault="004E22F8">
            <w:r>
              <w:rPr>
                <w:rFonts w:hint="eastAsia"/>
              </w:rPr>
              <w:t>1</w:t>
            </w:r>
          </w:p>
        </w:tc>
        <w:tc>
          <w:tcPr>
            <w:tcW w:w="7592" w:type="dxa"/>
          </w:tcPr>
          <w:p w14:paraId="28D18A80"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government can transform Weberian bureaucracy by institutionalizing changes in public organizations through digitization, influenced by agent preferences and contextual factors, thereby reshaping the delivery of numerous public services with greater flexibility and adaptability (</w:t>
            </w:r>
            <w:proofErr w:type="spellStart"/>
            <w:r w:rsidRPr="004E22F8">
              <w:rPr>
                <w:rFonts w:ascii="宋体" w:eastAsia="宋体" w:hAnsi="宋体" w:cs="宋体"/>
                <w:kern w:val="0"/>
                <w:sz w:val="24"/>
                <w:szCs w:val="24"/>
              </w:rPr>
              <w:t>Filgueiras</w:t>
            </w:r>
            <w:proofErr w:type="spellEnd"/>
            <w:r w:rsidRPr="004E22F8">
              <w:rPr>
                <w:rFonts w:ascii="宋体" w:eastAsia="宋体" w:hAnsi="宋体" w:cs="宋体"/>
                <w:kern w:val="0"/>
                <w:sz w:val="24"/>
                <w:szCs w:val="24"/>
              </w:rPr>
              <w:t xml:space="preserve"> et al., 2019). </w:t>
            </w:r>
          </w:p>
          <w:p w14:paraId="09BB0E9F"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enhances efficiency and accountability in service delivery by integrating technologies like e-governance and data analytics, moderated by organizational culture and leadership, moving away from rigid hierarchies to more responsive systems (</w:t>
            </w:r>
            <w:proofErr w:type="spellStart"/>
            <w:r w:rsidRPr="004E22F8">
              <w:rPr>
                <w:rFonts w:ascii="宋体" w:eastAsia="宋体" w:hAnsi="宋体" w:cs="宋体"/>
                <w:kern w:val="0"/>
                <w:sz w:val="24"/>
                <w:szCs w:val="24"/>
              </w:rPr>
              <w:t>Sain</w:t>
            </w:r>
            <w:proofErr w:type="spellEnd"/>
            <w:r w:rsidRPr="004E22F8">
              <w:rPr>
                <w:rFonts w:ascii="宋体" w:eastAsia="宋体" w:hAnsi="宋体" w:cs="宋体"/>
                <w:kern w:val="0"/>
                <w:sz w:val="24"/>
                <w:szCs w:val="24"/>
              </w:rPr>
              <w:t xml:space="preserve"> et al., 2025). </w:t>
            </w:r>
          </w:p>
          <w:p w14:paraId="682C8D20"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transformation shifts bureaucratic structures toward improved efficiency, citizen involvement, and accountability by leveraging technological readiness and organizational efficiency, reducing rule-bound delays (</w:t>
            </w:r>
            <w:proofErr w:type="spellStart"/>
            <w:r w:rsidRPr="004E22F8">
              <w:rPr>
                <w:rFonts w:ascii="宋体" w:eastAsia="宋体" w:hAnsi="宋体" w:cs="宋体"/>
                <w:kern w:val="0"/>
                <w:sz w:val="24"/>
                <w:szCs w:val="24"/>
              </w:rPr>
              <w:t>Latupeirissa</w:t>
            </w:r>
            <w:proofErr w:type="spellEnd"/>
            <w:r w:rsidRPr="004E22F8">
              <w:rPr>
                <w:rFonts w:ascii="宋体" w:eastAsia="宋体" w:hAnsi="宋体" w:cs="宋体"/>
                <w:kern w:val="0"/>
                <w:sz w:val="24"/>
                <w:szCs w:val="24"/>
              </w:rPr>
              <w:t xml:space="preserve"> et al., 2024). </w:t>
            </w:r>
          </w:p>
          <w:p w14:paraId="102EFAA4"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adopting AI, cloud computing, and mobile applications, it promotes flexibility, transparency, and citizen satisfaction, decentralizing authority and fostering inter-departmental coordination over traditional top-down models (</w:t>
            </w:r>
            <w:proofErr w:type="spellStart"/>
            <w:r w:rsidRPr="004E22F8">
              <w:rPr>
                <w:rFonts w:ascii="宋体" w:eastAsia="宋体" w:hAnsi="宋体" w:cs="宋体"/>
                <w:kern w:val="0"/>
                <w:sz w:val="24"/>
                <w:szCs w:val="24"/>
              </w:rPr>
              <w:t>Sadykova</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Galy</w:t>
            </w:r>
            <w:proofErr w:type="spellEnd"/>
            <w:r w:rsidRPr="004E22F8">
              <w:rPr>
                <w:rFonts w:ascii="宋体" w:eastAsia="宋体" w:hAnsi="宋体" w:cs="宋体"/>
                <w:kern w:val="0"/>
                <w:sz w:val="24"/>
                <w:szCs w:val="24"/>
              </w:rPr>
              <w:t xml:space="preserve">, 2024). </w:t>
            </w:r>
          </w:p>
          <w:p w14:paraId="75521C46"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streamlines processes and enhances responsiveness to citizen feedback, transitioning from hierarchical rigidity to resource-efficient, user-focused delivery mechanisms (</w:t>
            </w:r>
            <w:proofErr w:type="spellStart"/>
            <w:r w:rsidRPr="004E22F8">
              <w:rPr>
                <w:rFonts w:ascii="宋体" w:eastAsia="宋体" w:hAnsi="宋体" w:cs="宋体"/>
                <w:kern w:val="0"/>
                <w:sz w:val="24"/>
                <w:szCs w:val="24"/>
              </w:rPr>
              <w:t>Gondo</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Suwaryono</w:t>
            </w:r>
            <w:proofErr w:type="spellEnd"/>
            <w:r w:rsidRPr="004E22F8">
              <w:rPr>
                <w:rFonts w:ascii="宋体" w:eastAsia="宋体" w:hAnsi="宋体" w:cs="宋体"/>
                <w:kern w:val="0"/>
                <w:sz w:val="24"/>
                <w:szCs w:val="24"/>
              </w:rPr>
              <w:t xml:space="preserve">, 2024). </w:t>
            </w:r>
          </w:p>
          <w:p w14:paraId="6A139A32"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Through</w:t>
            </w:r>
            <w:proofErr w:type="gramEnd"/>
            <w:r w:rsidRPr="004E22F8">
              <w:rPr>
                <w:rFonts w:ascii="宋体" w:eastAsia="宋体" w:hAnsi="宋体" w:cs="宋体"/>
                <w:kern w:val="0"/>
                <w:sz w:val="24"/>
                <w:szCs w:val="24"/>
              </w:rPr>
              <w:t xml:space="preserve"> e-governance platforms, mobile apps, and data analytics, it improves transparency, accessibility, and responsiveness, emphasizing stakeholder engagement and capacity building to overcome bureaucratic inertia (</w:t>
            </w:r>
            <w:proofErr w:type="spellStart"/>
            <w:r w:rsidRPr="004E22F8">
              <w:rPr>
                <w:rFonts w:ascii="宋体" w:eastAsia="宋体" w:hAnsi="宋体" w:cs="宋体"/>
                <w:kern w:val="0"/>
                <w:sz w:val="24"/>
                <w:szCs w:val="24"/>
              </w:rPr>
              <w:t>Idrus</w:t>
            </w:r>
            <w:proofErr w:type="spellEnd"/>
            <w:r w:rsidRPr="004E22F8">
              <w:rPr>
                <w:rFonts w:ascii="宋体" w:eastAsia="宋体" w:hAnsi="宋体" w:cs="宋体"/>
                <w:kern w:val="0"/>
                <w:sz w:val="24"/>
                <w:szCs w:val="24"/>
              </w:rPr>
              <w:t xml:space="preserve"> et al., 2024). </w:t>
            </w:r>
          </w:p>
          <w:p w14:paraId="0D0F583E"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platforms enable efficient, effective service delivery with better stakeholder coordination and infrastructure, promoting collaboration between sectors to break down siloed bureaucratic operations (</w:t>
            </w:r>
            <w:proofErr w:type="spellStart"/>
            <w:r w:rsidRPr="004E22F8">
              <w:rPr>
                <w:rFonts w:ascii="宋体" w:eastAsia="宋体" w:hAnsi="宋体" w:cs="宋体"/>
                <w:kern w:val="0"/>
                <w:sz w:val="24"/>
                <w:szCs w:val="24"/>
              </w:rPr>
              <w:t>Sangaji</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Irianto</w:t>
            </w:r>
            <w:proofErr w:type="spellEnd"/>
            <w:r w:rsidRPr="004E22F8">
              <w:rPr>
                <w:rFonts w:ascii="宋体" w:eastAsia="宋体" w:hAnsi="宋体" w:cs="宋体"/>
                <w:kern w:val="0"/>
                <w:sz w:val="24"/>
                <w:szCs w:val="24"/>
              </w:rPr>
              <w:t xml:space="preserve">, 2025). </w:t>
            </w:r>
          </w:p>
          <w:p w14:paraId="20B90177"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Emerging</w:t>
            </w:r>
            <w:proofErr w:type="gramEnd"/>
            <w:r w:rsidRPr="004E22F8">
              <w:rPr>
                <w:rFonts w:ascii="宋体" w:eastAsia="宋体" w:hAnsi="宋体" w:cs="宋体"/>
                <w:kern w:val="0"/>
                <w:sz w:val="24"/>
                <w:szCs w:val="24"/>
              </w:rPr>
              <w:t xml:space="preserve"> technologies like AI, IoT, and blockchain enhance efficiency and security, aligning innovation with systemic reforms and citizen engagement to evolve from rule-oriented to participatory governance (</w:t>
            </w:r>
            <w:proofErr w:type="spellStart"/>
            <w:r w:rsidRPr="004E22F8">
              <w:rPr>
                <w:rFonts w:ascii="宋体" w:eastAsia="宋体" w:hAnsi="宋体" w:cs="宋体"/>
                <w:kern w:val="0"/>
                <w:sz w:val="24"/>
                <w:szCs w:val="24"/>
              </w:rPr>
              <w:t>Mambang</w:t>
            </w:r>
            <w:proofErr w:type="spellEnd"/>
            <w:r w:rsidRPr="004E22F8">
              <w:rPr>
                <w:rFonts w:ascii="宋体" w:eastAsia="宋体" w:hAnsi="宋体" w:cs="宋体"/>
                <w:kern w:val="0"/>
                <w:sz w:val="24"/>
                <w:szCs w:val="24"/>
              </w:rPr>
              <w:t xml:space="preserve">, 2024). </w:t>
            </w:r>
          </w:p>
          <w:p w14:paraId="7479FBE2"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E</w:t>
            </w:r>
            <w:proofErr w:type="gramEnd"/>
            <w:r w:rsidRPr="004E22F8">
              <w:rPr>
                <w:rFonts w:ascii="宋体" w:eastAsia="宋体" w:hAnsi="宋体" w:cs="宋体"/>
                <w:kern w:val="0"/>
                <w:sz w:val="24"/>
                <w:szCs w:val="24"/>
              </w:rPr>
              <w:t>-government infrastructure advances accessibility and reduces processing times, minimizing corruption through integrated systems, while addressing uneven implementation to modernize bureaucratic processes (</w:t>
            </w:r>
            <w:proofErr w:type="spellStart"/>
            <w:r w:rsidRPr="004E22F8">
              <w:rPr>
                <w:rFonts w:ascii="宋体" w:eastAsia="宋体" w:hAnsi="宋体" w:cs="宋体"/>
                <w:kern w:val="0"/>
                <w:sz w:val="24"/>
                <w:szCs w:val="24"/>
              </w:rPr>
              <w:t>Syafaruddin</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Rizka</w:t>
            </w:r>
            <w:proofErr w:type="spellEnd"/>
            <w:r w:rsidRPr="004E22F8">
              <w:rPr>
                <w:rFonts w:ascii="宋体" w:eastAsia="宋体" w:hAnsi="宋体" w:cs="宋体"/>
                <w:kern w:val="0"/>
                <w:sz w:val="24"/>
                <w:szCs w:val="24"/>
              </w:rPr>
              <w:t xml:space="preserve">, 2025). </w:t>
            </w:r>
          </w:p>
          <w:p w14:paraId="06C0FC26"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lastRenderedPageBreak/>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utilizing digital tools like pre-filled forms and open data, it streamlines processes and boosts citizen engagement, integrating technology across workforce scales to reduce red tape (</w:t>
            </w:r>
            <w:proofErr w:type="spellStart"/>
            <w:r w:rsidRPr="004E22F8">
              <w:rPr>
                <w:rFonts w:ascii="宋体" w:eastAsia="宋体" w:hAnsi="宋体" w:cs="宋体"/>
                <w:kern w:val="0"/>
                <w:sz w:val="24"/>
                <w:szCs w:val="24"/>
              </w:rPr>
              <w:t>Gavril</w:t>
            </w:r>
            <w:r w:rsidRPr="004E22F8">
              <w:rPr>
                <w:rFonts w:ascii="Cambria" w:eastAsia="宋体" w:hAnsi="Cambria" w:cs="Cambria"/>
                <w:kern w:val="0"/>
                <w:sz w:val="24"/>
                <w:szCs w:val="24"/>
              </w:rPr>
              <w:t>ă</w:t>
            </w:r>
            <w:proofErr w:type="spellEnd"/>
            <w:r w:rsidRPr="004E22F8">
              <w:rPr>
                <w:rFonts w:ascii="宋体" w:eastAsia="宋体" w:hAnsi="宋体" w:cs="宋体"/>
                <w:kern w:val="0"/>
                <w:sz w:val="24"/>
                <w:szCs w:val="24"/>
              </w:rPr>
              <w:t xml:space="preserve">, 2024). </w:t>
            </w:r>
          </w:p>
          <w:p w14:paraId="3495F8C6"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fosters user-driven services that prioritize needs and continuous improvement, enhancing accessibility and transparency to shift from hierarchical to iterative, responsive delivery (</w:t>
            </w:r>
            <w:proofErr w:type="spellStart"/>
            <w:r w:rsidRPr="004E22F8">
              <w:rPr>
                <w:rFonts w:ascii="宋体" w:eastAsia="宋体" w:hAnsi="宋体" w:cs="宋体"/>
                <w:kern w:val="0"/>
                <w:sz w:val="24"/>
                <w:szCs w:val="24"/>
              </w:rPr>
              <w:t>Mohideen</w:t>
            </w:r>
            <w:proofErr w:type="spellEnd"/>
            <w:r w:rsidRPr="004E22F8">
              <w:rPr>
                <w:rFonts w:ascii="宋体" w:eastAsia="宋体" w:hAnsi="宋体" w:cs="宋体"/>
                <w:kern w:val="0"/>
                <w:sz w:val="24"/>
                <w:szCs w:val="24"/>
              </w:rPr>
              <w:t xml:space="preserve"> </w:t>
            </w:r>
            <w:proofErr w:type="spellStart"/>
            <w:r w:rsidRPr="004E22F8">
              <w:rPr>
                <w:rFonts w:ascii="宋体" w:eastAsia="宋体" w:hAnsi="宋体" w:cs="宋体"/>
                <w:kern w:val="0"/>
                <w:sz w:val="24"/>
                <w:szCs w:val="24"/>
              </w:rPr>
              <w:t>Kadhir</w:t>
            </w:r>
            <w:proofErr w:type="spellEnd"/>
            <w:r w:rsidRPr="004E22F8">
              <w:rPr>
                <w:rFonts w:ascii="宋体" w:eastAsia="宋体" w:hAnsi="宋体" w:cs="宋体"/>
                <w:kern w:val="0"/>
                <w:sz w:val="24"/>
                <w:szCs w:val="24"/>
              </w:rPr>
              <w:t xml:space="preserve"> Ali et al., 2025). </w:t>
            </w:r>
          </w:p>
          <w:p w14:paraId="78759BE4"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service design emphasizes user engagement in processes, improving reliability and integrity, thus transforming rigid structures into dynamic, citizen-centric systems (OECD, 2020). </w:t>
            </w:r>
          </w:p>
          <w:p w14:paraId="52EA8378"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boosts efficiency, transparency, and engagement while addressing digital gaps and security, evolving bureaucracy toward user-centric, cost-effective models (</w:t>
            </w:r>
            <w:proofErr w:type="spellStart"/>
            <w:r w:rsidRPr="004E22F8">
              <w:rPr>
                <w:rFonts w:ascii="宋体" w:eastAsia="宋体" w:hAnsi="宋体" w:cs="宋体"/>
                <w:kern w:val="0"/>
                <w:sz w:val="24"/>
                <w:szCs w:val="24"/>
              </w:rPr>
              <w:t>Sahur</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Amiruddin</w:t>
            </w:r>
            <w:proofErr w:type="spellEnd"/>
            <w:r w:rsidRPr="004E22F8">
              <w:rPr>
                <w:rFonts w:ascii="宋体" w:eastAsia="宋体" w:hAnsi="宋体" w:cs="宋体"/>
                <w:kern w:val="0"/>
                <w:sz w:val="24"/>
                <w:szCs w:val="24"/>
              </w:rPr>
              <w:t xml:space="preserve">, 2023). </w:t>
            </w:r>
          </w:p>
          <w:p w14:paraId="09C2865D"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Robust</w:t>
            </w:r>
            <w:proofErr w:type="gramEnd"/>
            <w:r w:rsidRPr="004E22F8">
              <w:rPr>
                <w:rFonts w:ascii="宋体" w:eastAsia="宋体" w:hAnsi="宋体" w:cs="宋体"/>
                <w:kern w:val="0"/>
                <w:sz w:val="24"/>
                <w:szCs w:val="24"/>
              </w:rPr>
              <w:t xml:space="preserve"> infrastructure and leadership enable data-driven decisions and innovation, fostering agile approaches and partnerships to decentralize and include diverse stakeholders (</w:t>
            </w:r>
            <w:proofErr w:type="spellStart"/>
            <w:r w:rsidRPr="004E22F8">
              <w:rPr>
                <w:rFonts w:ascii="宋体" w:eastAsia="宋体" w:hAnsi="宋体" w:cs="宋体"/>
                <w:kern w:val="0"/>
                <w:sz w:val="24"/>
                <w:szCs w:val="24"/>
              </w:rPr>
              <w:t>Aryatama</w:t>
            </w:r>
            <w:proofErr w:type="spellEnd"/>
            <w:r w:rsidRPr="004E22F8">
              <w:rPr>
                <w:rFonts w:ascii="宋体" w:eastAsia="宋体" w:hAnsi="宋体" w:cs="宋体"/>
                <w:kern w:val="0"/>
                <w:sz w:val="24"/>
                <w:szCs w:val="24"/>
              </w:rPr>
              <w:t xml:space="preserve"> et al., 2024). </w:t>
            </w:r>
          </w:p>
          <w:p w14:paraId="06A94341"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While</w:t>
            </w:r>
            <w:proofErr w:type="gramEnd"/>
            <w:r w:rsidRPr="004E22F8">
              <w:rPr>
                <w:rFonts w:ascii="宋体" w:eastAsia="宋体" w:hAnsi="宋体" w:cs="宋体"/>
                <w:kern w:val="0"/>
                <w:sz w:val="24"/>
                <w:szCs w:val="24"/>
              </w:rPr>
              <w:t xml:space="preserve"> visions of efficiency may not always materialize, it introduces automation and apps that potentially enhance responsiveness, though requiring awareness of power dynamics to avoid undermining principles (Henman, 2018). </w:t>
            </w:r>
          </w:p>
          <w:p w14:paraId="2685C133"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tools solve service challenges by improving decision-making and operations, promoting equality in delivery despite digital divides, shifting from centralized to inclusive governance (</w:t>
            </w:r>
            <w:proofErr w:type="spellStart"/>
            <w:r w:rsidRPr="004E22F8">
              <w:rPr>
                <w:rFonts w:ascii="宋体" w:eastAsia="宋体" w:hAnsi="宋体" w:cs="宋体"/>
                <w:kern w:val="0"/>
                <w:sz w:val="24"/>
                <w:szCs w:val="24"/>
              </w:rPr>
              <w:t>Hofisi</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Chigova</w:t>
            </w:r>
            <w:proofErr w:type="spellEnd"/>
            <w:r w:rsidRPr="004E22F8">
              <w:rPr>
                <w:rFonts w:ascii="宋体" w:eastAsia="宋体" w:hAnsi="宋体" w:cs="宋体"/>
                <w:kern w:val="0"/>
                <w:sz w:val="24"/>
                <w:szCs w:val="24"/>
              </w:rPr>
              <w:t xml:space="preserve">, 2023). </w:t>
            </w:r>
          </w:p>
          <w:p w14:paraId="745177E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redesigns services for user needs via co-design and co-production, increasing legitimacy and integration beyond traditional silos (</w:t>
            </w:r>
            <w:proofErr w:type="spellStart"/>
            <w:r w:rsidRPr="004E22F8">
              <w:rPr>
                <w:rFonts w:ascii="宋体" w:eastAsia="宋体" w:hAnsi="宋体" w:cs="宋体"/>
                <w:kern w:val="0"/>
                <w:sz w:val="24"/>
                <w:szCs w:val="24"/>
              </w:rPr>
              <w:t>Mergel</w:t>
            </w:r>
            <w:proofErr w:type="spellEnd"/>
            <w:r w:rsidRPr="004E22F8">
              <w:rPr>
                <w:rFonts w:ascii="宋体" w:eastAsia="宋体" w:hAnsi="宋体" w:cs="宋体"/>
                <w:kern w:val="0"/>
                <w:sz w:val="24"/>
                <w:szCs w:val="24"/>
              </w:rPr>
              <w:t xml:space="preserve"> et al., 2018). </w:t>
            </w:r>
          </w:p>
          <w:p w14:paraId="747293FD"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revolutionizing processes with non-technological factors in mind, it redefines responsibilities and routines, enabling interoperability and user-centric reforms (</w:t>
            </w:r>
            <w:proofErr w:type="spellStart"/>
            <w:r w:rsidRPr="004E22F8">
              <w:rPr>
                <w:rFonts w:ascii="宋体" w:eastAsia="宋体" w:hAnsi="宋体" w:cs="宋体"/>
                <w:kern w:val="0"/>
                <w:sz w:val="24"/>
                <w:szCs w:val="24"/>
              </w:rPr>
              <w:t>Liva</w:t>
            </w:r>
            <w:proofErr w:type="spellEnd"/>
            <w:r w:rsidRPr="004E22F8">
              <w:rPr>
                <w:rFonts w:ascii="宋体" w:eastAsia="宋体" w:hAnsi="宋体" w:cs="宋体"/>
                <w:kern w:val="0"/>
                <w:sz w:val="24"/>
                <w:szCs w:val="24"/>
              </w:rPr>
              <w:t xml:space="preserve"> et al., 2020). </w:t>
            </w:r>
          </w:p>
          <w:p w14:paraId="6AA44978"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Accelerated</w:t>
            </w:r>
            <w:proofErr w:type="gramEnd"/>
            <w:r w:rsidRPr="004E22F8">
              <w:rPr>
                <w:rFonts w:ascii="宋体" w:eastAsia="宋体" w:hAnsi="宋体" w:cs="宋体"/>
                <w:kern w:val="0"/>
                <w:sz w:val="24"/>
                <w:szCs w:val="24"/>
              </w:rPr>
              <w:t xml:space="preserve"> by crises like COVID-19, it shifts to online delivery via social media, broadening reach and interactions while addressing engagement and cost dilemmas (Agostino et al., 2020). </w:t>
            </w:r>
          </w:p>
          <w:p w14:paraId="3BA36479"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E</w:t>
            </w:r>
            <w:proofErr w:type="gramEnd"/>
            <w:r w:rsidRPr="004E22F8">
              <w:rPr>
                <w:rFonts w:ascii="宋体" w:eastAsia="宋体" w:hAnsi="宋体" w:cs="宋体"/>
                <w:kern w:val="0"/>
                <w:sz w:val="24"/>
                <w:szCs w:val="24"/>
              </w:rPr>
              <w:t>-government enhances collaboration and transparency, positively impacting service quality through G2C, G2B, and G2G applications, reducing bureaucratic hurdles (</w:t>
            </w:r>
            <w:proofErr w:type="spellStart"/>
            <w:r w:rsidRPr="004E22F8">
              <w:rPr>
                <w:rFonts w:ascii="宋体" w:eastAsia="宋体" w:hAnsi="宋体" w:cs="宋体"/>
                <w:kern w:val="0"/>
                <w:sz w:val="24"/>
                <w:szCs w:val="24"/>
              </w:rPr>
              <w:t>Qumara</w:t>
            </w:r>
            <w:proofErr w:type="spellEnd"/>
            <w:r w:rsidRPr="004E22F8">
              <w:rPr>
                <w:rFonts w:ascii="宋体" w:eastAsia="宋体" w:hAnsi="宋体" w:cs="宋体"/>
                <w:kern w:val="0"/>
                <w:sz w:val="24"/>
                <w:szCs w:val="24"/>
              </w:rPr>
              <w:t xml:space="preserve"> Wahyu </w:t>
            </w:r>
            <w:proofErr w:type="spellStart"/>
            <w:r w:rsidRPr="004E22F8">
              <w:rPr>
                <w:rFonts w:ascii="宋体" w:eastAsia="宋体" w:hAnsi="宋体" w:cs="宋体"/>
                <w:kern w:val="0"/>
                <w:sz w:val="24"/>
                <w:szCs w:val="24"/>
              </w:rPr>
              <w:t>Sulistya</w:t>
            </w:r>
            <w:proofErr w:type="spellEnd"/>
            <w:r w:rsidRPr="004E22F8">
              <w:rPr>
                <w:rFonts w:ascii="宋体" w:eastAsia="宋体" w:hAnsi="宋体" w:cs="宋体"/>
                <w:kern w:val="0"/>
                <w:sz w:val="24"/>
                <w:szCs w:val="24"/>
              </w:rPr>
              <w:t xml:space="preserve"> et al., 2019). </w:t>
            </w:r>
          </w:p>
          <w:p w14:paraId="065254A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lastRenderedPageBreak/>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boosts democratic responsiveness and perceptions of effectiveness, utilizing interactive web features to improve outreach over static hierarchies (West, 2004). </w:t>
            </w:r>
          </w:p>
          <w:p w14:paraId="1F86EE61"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Complementing</w:t>
            </w:r>
            <w:proofErr w:type="gramEnd"/>
            <w:r w:rsidRPr="004E22F8">
              <w:rPr>
                <w:rFonts w:ascii="宋体" w:eastAsia="宋体" w:hAnsi="宋体" w:cs="宋体"/>
                <w:kern w:val="0"/>
                <w:sz w:val="24"/>
                <w:szCs w:val="24"/>
              </w:rPr>
              <w:t xml:space="preserve"> knowledge management, it intensifies engagement and growth, creating value through digitized processes that transcend rigid management (Alvarenga et al., 2020). </w:t>
            </w:r>
          </w:p>
          <w:p w14:paraId="1673B2F1"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streamlining services and enhancing transparency, it addresses resistance via infrastructure and awareness, evolving toward inclusive governance (Zhang &amp; Kaur, 2024). </w:t>
            </w:r>
          </w:p>
          <w:p w14:paraId="6FA487C3"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Platforms</w:t>
            </w:r>
            <w:proofErr w:type="gramEnd"/>
            <w:r w:rsidRPr="004E22F8">
              <w:rPr>
                <w:rFonts w:ascii="宋体" w:eastAsia="宋体" w:hAnsi="宋体" w:cs="宋体"/>
                <w:kern w:val="0"/>
                <w:sz w:val="24"/>
                <w:szCs w:val="24"/>
              </w:rPr>
              <w:t xml:space="preserve"> enable resilience transitions via entrepreneurship and coproduction, generating accountability and shifting from recovery to transformative delivery (Shen et al., 2022). </w:t>
            </w:r>
          </w:p>
          <w:p w14:paraId="15F9373B"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capabilities like AI startups improve effectiveness, procuring advanced tech to enhance innovation beyond rule-bound systems (Mittal, 2020). </w:t>
            </w:r>
          </w:p>
          <w:p w14:paraId="14C8A1C9"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Strong</w:t>
            </w:r>
            <w:proofErr w:type="gramEnd"/>
            <w:r w:rsidRPr="004E22F8">
              <w:rPr>
                <w:rFonts w:ascii="宋体" w:eastAsia="宋体" w:hAnsi="宋体" w:cs="宋体"/>
                <w:kern w:val="0"/>
                <w:sz w:val="24"/>
                <w:szCs w:val="24"/>
              </w:rPr>
              <w:t xml:space="preserve"> governance and coordination models ensure high inclusiveness and interoperability, leading to user-centric, integrated services (Nielsen &amp; </w:t>
            </w:r>
            <w:proofErr w:type="spellStart"/>
            <w:r w:rsidRPr="004E22F8">
              <w:rPr>
                <w:rFonts w:ascii="宋体" w:eastAsia="宋体" w:hAnsi="宋体" w:cs="宋体"/>
                <w:kern w:val="0"/>
                <w:sz w:val="24"/>
                <w:szCs w:val="24"/>
              </w:rPr>
              <w:t>Jordanoski</w:t>
            </w:r>
            <w:proofErr w:type="spellEnd"/>
            <w:r w:rsidRPr="004E22F8">
              <w:rPr>
                <w:rFonts w:ascii="宋体" w:eastAsia="宋体" w:hAnsi="宋体" w:cs="宋体"/>
                <w:kern w:val="0"/>
                <w:sz w:val="24"/>
                <w:szCs w:val="24"/>
              </w:rPr>
              <w:t xml:space="preserve">, 2020). </w:t>
            </w:r>
          </w:p>
          <w:p w14:paraId="6FF35D34"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decentralizes governance for efficiency and participation, empowering citizens and building trust through digital tools (Jonathan et al., 2023). </w:t>
            </w:r>
          </w:p>
          <w:p w14:paraId="664B9524"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Digitalization</w:t>
            </w:r>
            <w:proofErr w:type="gramEnd"/>
            <w:r w:rsidRPr="004E22F8">
              <w:rPr>
                <w:rFonts w:ascii="宋体" w:eastAsia="宋体" w:hAnsi="宋体" w:cs="宋体"/>
                <w:kern w:val="0"/>
                <w:sz w:val="24"/>
                <w:szCs w:val="24"/>
              </w:rPr>
              <w:t xml:space="preserve"> streamlines complaint management, elevating responsiveness and accountability for good governance (Seta et al., 2024). </w:t>
            </w:r>
          </w:p>
          <w:p w14:paraId="7CA56CA7"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Agile</w:t>
            </w:r>
            <w:proofErr w:type="gramEnd"/>
            <w:r w:rsidRPr="004E22F8">
              <w:rPr>
                <w:rFonts w:ascii="宋体" w:eastAsia="宋体" w:hAnsi="宋体" w:cs="宋体"/>
                <w:kern w:val="0"/>
                <w:sz w:val="24"/>
                <w:szCs w:val="24"/>
              </w:rPr>
              <w:t xml:space="preserve"> implementations with </w:t>
            </w:r>
            <w:proofErr w:type="spellStart"/>
            <w:r w:rsidRPr="004E22F8">
              <w:rPr>
                <w:rFonts w:ascii="宋体" w:eastAsia="宋体" w:hAnsi="宋体" w:cs="宋体"/>
                <w:kern w:val="0"/>
                <w:sz w:val="24"/>
                <w:szCs w:val="24"/>
              </w:rPr>
              <w:t>GaaS</w:t>
            </w:r>
            <w:proofErr w:type="spellEnd"/>
            <w:r w:rsidRPr="004E22F8">
              <w:rPr>
                <w:rFonts w:ascii="宋体" w:eastAsia="宋体" w:hAnsi="宋体" w:cs="宋体"/>
                <w:kern w:val="0"/>
                <w:sz w:val="24"/>
                <w:szCs w:val="24"/>
              </w:rPr>
              <w:t xml:space="preserve"> and microservices reduce face-to-face needs, building capacity and addressing illiteracy for personalized delivery (</w:t>
            </w:r>
            <w:proofErr w:type="spellStart"/>
            <w:r w:rsidRPr="004E22F8">
              <w:rPr>
                <w:rFonts w:ascii="宋体" w:eastAsia="宋体" w:hAnsi="宋体" w:cs="宋体"/>
                <w:kern w:val="0"/>
                <w:sz w:val="24"/>
                <w:szCs w:val="24"/>
              </w:rPr>
              <w:t>Tuttman</w:t>
            </w:r>
            <w:proofErr w:type="spellEnd"/>
            <w:r w:rsidRPr="004E22F8">
              <w:rPr>
                <w:rFonts w:ascii="宋体" w:eastAsia="宋体" w:hAnsi="宋体" w:cs="宋体"/>
                <w:kern w:val="0"/>
                <w:sz w:val="24"/>
                <w:szCs w:val="24"/>
              </w:rPr>
              <w:t xml:space="preserve"> et al., 2023). </w:t>
            </w:r>
          </w:p>
          <w:p w14:paraId="7146360E"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E</w:t>
            </w:r>
            <w:proofErr w:type="gramEnd"/>
            <w:r w:rsidRPr="004E22F8">
              <w:rPr>
                <w:rFonts w:ascii="宋体" w:eastAsia="宋体" w:hAnsi="宋体" w:cs="宋体"/>
                <w:kern w:val="0"/>
                <w:sz w:val="24"/>
                <w:szCs w:val="24"/>
              </w:rPr>
              <w:t>-governance models provide frameworks for economies, embracing digitization to enhance efficiency and value (</w:t>
            </w:r>
            <w:proofErr w:type="spellStart"/>
            <w:r w:rsidRPr="004E22F8">
              <w:rPr>
                <w:rFonts w:ascii="宋体" w:eastAsia="宋体" w:hAnsi="宋体" w:cs="宋体"/>
                <w:kern w:val="0"/>
                <w:sz w:val="24"/>
                <w:szCs w:val="24"/>
              </w:rPr>
              <w:t>Vatsa</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Chhaparwal</w:t>
            </w:r>
            <w:proofErr w:type="spellEnd"/>
            <w:r w:rsidRPr="004E22F8">
              <w:rPr>
                <w:rFonts w:ascii="宋体" w:eastAsia="宋体" w:hAnsi="宋体" w:cs="宋体"/>
                <w:kern w:val="0"/>
                <w:sz w:val="24"/>
                <w:szCs w:val="24"/>
              </w:rPr>
              <w:t xml:space="preserve">, 2021). </w:t>
            </w:r>
          </w:p>
          <w:p w14:paraId="2D94ACCD"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improves accessibility and participation, enhancing governance via digital tools despite qualitative evidence limitations (Mofokeng et al., 2025). </w:t>
            </w:r>
          </w:p>
          <w:p w14:paraId="3BB5F5B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As</w:t>
            </w:r>
            <w:proofErr w:type="gramEnd"/>
            <w:r w:rsidRPr="004E22F8">
              <w:rPr>
                <w:rFonts w:ascii="宋体" w:eastAsia="宋体" w:hAnsi="宋体" w:cs="宋体"/>
                <w:kern w:val="0"/>
                <w:sz w:val="24"/>
                <w:szCs w:val="24"/>
              </w:rPr>
              <w:t xml:space="preserve"> part of neoliberal shifts, it facilitates market-led development, reconfiguring state power and ideas for regulatory efficiency (</w:t>
            </w:r>
            <w:proofErr w:type="spellStart"/>
            <w:r w:rsidRPr="004E22F8">
              <w:rPr>
                <w:rFonts w:ascii="宋体" w:eastAsia="宋体" w:hAnsi="宋体" w:cs="宋体"/>
                <w:kern w:val="0"/>
                <w:sz w:val="24"/>
                <w:szCs w:val="24"/>
              </w:rPr>
              <w:t>Sahin</w:t>
            </w:r>
            <w:proofErr w:type="spellEnd"/>
            <w:r w:rsidRPr="004E22F8">
              <w:rPr>
                <w:rFonts w:ascii="宋体" w:eastAsia="宋体" w:hAnsi="宋体" w:cs="宋体"/>
                <w:kern w:val="0"/>
                <w:sz w:val="24"/>
                <w:szCs w:val="24"/>
              </w:rPr>
              <w:t xml:space="preserve">, 2023). </w:t>
            </w:r>
          </w:p>
          <w:p w14:paraId="4EA10F27"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Despite</w:t>
            </w:r>
            <w:proofErr w:type="gramEnd"/>
            <w:r w:rsidRPr="004E22F8">
              <w:rPr>
                <w:rFonts w:ascii="宋体" w:eastAsia="宋体" w:hAnsi="宋体" w:cs="宋体"/>
                <w:kern w:val="0"/>
                <w:sz w:val="24"/>
                <w:szCs w:val="24"/>
              </w:rPr>
              <w:t xml:space="preserve"> gaps in transactional services, it offers policy options to overcome barriers, improving infrastructure and engagement (</w:t>
            </w:r>
            <w:proofErr w:type="spellStart"/>
            <w:r w:rsidRPr="004E22F8">
              <w:rPr>
                <w:rFonts w:ascii="宋体" w:eastAsia="宋体" w:hAnsi="宋体" w:cs="宋体"/>
                <w:kern w:val="0"/>
                <w:sz w:val="24"/>
                <w:szCs w:val="24"/>
              </w:rPr>
              <w:t>Kuldosheva</w:t>
            </w:r>
            <w:proofErr w:type="spellEnd"/>
            <w:r w:rsidRPr="004E22F8">
              <w:rPr>
                <w:rFonts w:ascii="宋体" w:eastAsia="宋体" w:hAnsi="宋体" w:cs="宋体"/>
                <w:kern w:val="0"/>
                <w:sz w:val="24"/>
                <w:szCs w:val="24"/>
              </w:rPr>
              <w:t xml:space="preserve">, 2021). </w:t>
            </w:r>
          </w:p>
          <w:p w14:paraId="13CF2D8D"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E</w:t>
            </w:r>
            <w:proofErr w:type="gramEnd"/>
            <w:r w:rsidRPr="004E22F8">
              <w:rPr>
                <w:rFonts w:ascii="宋体" w:eastAsia="宋体" w:hAnsi="宋体" w:cs="宋体"/>
                <w:kern w:val="0"/>
                <w:sz w:val="24"/>
                <w:szCs w:val="24"/>
              </w:rPr>
              <w:t>-government expedites processes and collaboration, strengthening accountability with infrastructure and literacy support (</w:t>
            </w:r>
            <w:proofErr w:type="spellStart"/>
            <w:r w:rsidRPr="004E22F8">
              <w:rPr>
                <w:rFonts w:ascii="宋体" w:eastAsia="宋体" w:hAnsi="宋体" w:cs="宋体"/>
                <w:kern w:val="0"/>
                <w:sz w:val="24"/>
                <w:szCs w:val="24"/>
              </w:rPr>
              <w:t>Setyawan</w:t>
            </w:r>
            <w:proofErr w:type="spellEnd"/>
            <w:r w:rsidRPr="004E22F8">
              <w:rPr>
                <w:rFonts w:ascii="宋体" w:eastAsia="宋体" w:hAnsi="宋体" w:cs="宋体"/>
                <w:kern w:val="0"/>
                <w:sz w:val="24"/>
                <w:szCs w:val="24"/>
              </w:rPr>
              <w:t xml:space="preserve">, 2024). </w:t>
            </w:r>
          </w:p>
          <w:p w14:paraId="0E1340A9"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lastRenderedPageBreak/>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requires organizational and regulatory changes to sustain value, highlighting societal value shifts in delivery (Lindgren &amp; </w:t>
            </w:r>
            <w:proofErr w:type="spellStart"/>
            <w:r w:rsidRPr="004E22F8">
              <w:rPr>
                <w:rFonts w:ascii="宋体" w:eastAsia="宋体" w:hAnsi="宋体" w:cs="宋体"/>
                <w:kern w:val="0"/>
                <w:sz w:val="24"/>
                <w:szCs w:val="24"/>
              </w:rPr>
              <w:t>Veenstra</w:t>
            </w:r>
            <w:proofErr w:type="spellEnd"/>
            <w:r w:rsidRPr="004E22F8">
              <w:rPr>
                <w:rFonts w:ascii="宋体" w:eastAsia="宋体" w:hAnsi="宋体" w:cs="宋体"/>
                <w:kern w:val="0"/>
                <w:sz w:val="24"/>
                <w:szCs w:val="24"/>
              </w:rPr>
              <w:t xml:space="preserve">, 2018). </w:t>
            </w:r>
          </w:p>
          <w:p w14:paraId="13A43CF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Mobile</w:t>
            </w:r>
            <w:proofErr w:type="gramEnd"/>
            <w:r w:rsidRPr="004E22F8">
              <w:rPr>
                <w:rFonts w:ascii="宋体" w:eastAsia="宋体" w:hAnsi="宋体" w:cs="宋体"/>
                <w:kern w:val="0"/>
                <w:sz w:val="24"/>
                <w:szCs w:val="24"/>
              </w:rPr>
              <w:t xml:space="preserve"> interfaces boost evaluations and satisfaction, transforming ratings from offline to digital for better feedback loops (Wang &amp; Ma, 2022). </w:t>
            </w:r>
          </w:p>
          <w:p w14:paraId="1EC43BC2"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Design</w:t>
            </w:r>
            <w:proofErr w:type="gramEnd"/>
            <w:r w:rsidRPr="004E22F8">
              <w:rPr>
                <w:rFonts w:ascii="宋体" w:eastAsia="宋体" w:hAnsi="宋体" w:cs="宋体"/>
                <w:kern w:val="0"/>
                <w:sz w:val="24"/>
                <w:szCs w:val="24"/>
              </w:rPr>
              <w:t xml:space="preserve">-led approaches and "Government as a Platform" scale transformations, improving outcomes and bringing states closer to citizens (OECD, 2020). </w:t>
            </w:r>
          </w:p>
          <w:p w14:paraId="69353B65"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IDs and certificates enhance efficiency and transparency, addressing challenges with inclusive approaches (</w:t>
            </w:r>
            <w:proofErr w:type="spellStart"/>
            <w:r w:rsidRPr="004E22F8">
              <w:rPr>
                <w:rFonts w:ascii="宋体" w:eastAsia="宋体" w:hAnsi="宋体" w:cs="宋体"/>
                <w:kern w:val="0"/>
                <w:sz w:val="24"/>
                <w:szCs w:val="24"/>
              </w:rPr>
              <w:t>Riskasari</w:t>
            </w:r>
            <w:proofErr w:type="spellEnd"/>
            <w:r w:rsidRPr="004E22F8">
              <w:rPr>
                <w:rFonts w:ascii="宋体" w:eastAsia="宋体" w:hAnsi="宋体" w:cs="宋体"/>
                <w:kern w:val="0"/>
                <w:sz w:val="24"/>
                <w:szCs w:val="24"/>
              </w:rPr>
              <w:t xml:space="preserve"> &amp; Ibrahim, 2025). </w:t>
            </w:r>
          </w:p>
          <w:p w14:paraId="3A347B31"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redefining leadership and human capital roles, it fosters democratic environments for user-friendly technologies and performance (</w:t>
            </w:r>
            <w:proofErr w:type="spellStart"/>
            <w:r w:rsidRPr="004E22F8">
              <w:rPr>
                <w:rFonts w:ascii="宋体" w:eastAsia="宋体" w:hAnsi="宋体" w:cs="宋体"/>
                <w:kern w:val="0"/>
                <w:sz w:val="24"/>
                <w:szCs w:val="24"/>
              </w:rPr>
              <w:t>Ringson</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Matshabaphala</w:t>
            </w:r>
            <w:proofErr w:type="spellEnd"/>
            <w:r w:rsidRPr="004E22F8">
              <w:rPr>
                <w:rFonts w:ascii="宋体" w:eastAsia="宋体" w:hAnsi="宋体" w:cs="宋体"/>
                <w:kern w:val="0"/>
                <w:sz w:val="24"/>
                <w:szCs w:val="24"/>
              </w:rPr>
              <w:t xml:space="preserve">, 2023). </w:t>
            </w:r>
          </w:p>
          <w:p w14:paraId="0A66D70D"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Organizational</w:t>
            </w:r>
            <w:proofErr w:type="gramEnd"/>
            <w:r w:rsidRPr="004E22F8">
              <w:rPr>
                <w:rFonts w:ascii="宋体" w:eastAsia="宋体" w:hAnsi="宋体" w:cs="宋体"/>
                <w:kern w:val="0"/>
                <w:sz w:val="24"/>
                <w:szCs w:val="24"/>
              </w:rPr>
              <w:t xml:space="preserve"> readiness and oversight enable effective plans, transitioning to AI and data-driven governance (Nur et al., 2025). </w:t>
            </w:r>
          </w:p>
          <w:p w14:paraId="2654D5CE"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ITSM</w:t>
            </w:r>
            <w:proofErr w:type="gramEnd"/>
            <w:r w:rsidRPr="004E22F8">
              <w:rPr>
                <w:rFonts w:ascii="宋体" w:eastAsia="宋体" w:hAnsi="宋体" w:cs="宋体"/>
                <w:kern w:val="0"/>
                <w:sz w:val="24"/>
                <w:szCs w:val="24"/>
              </w:rPr>
              <w:t xml:space="preserve"> protocols enhance IT quality and capacity, proposing sustainable tools for governance transformation (Sarwar et al., 2023). </w:t>
            </w:r>
          </w:p>
          <w:p w14:paraId="1F9B0FA3"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Integrating</w:t>
            </w:r>
            <w:proofErr w:type="gramEnd"/>
            <w:r w:rsidRPr="004E22F8">
              <w:rPr>
                <w:rFonts w:ascii="宋体" w:eastAsia="宋体" w:hAnsi="宋体" w:cs="宋体"/>
                <w:kern w:val="0"/>
                <w:sz w:val="24"/>
                <w:szCs w:val="24"/>
              </w:rPr>
              <w:t xml:space="preserve"> AI, cloud, and IoT streamlines delivery and collaboration, aligning with ethical practices for sustainable change (</w:t>
            </w:r>
            <w:proofErr w:type="spellStart"/>
            <w:r w:rsidRPr="004E22F8">
              <w:rPr>
                <w:rFonts w:ascii="宋体" w:eastAsia="宋体" w:hAnsi="宋体" w:cs="宋体"/>
                <w:kern w:val="0"/>
                <w:sz w:val="24"/>
                <w:szCs w:val="24"/>
              </w:rPr>
              <w:t>Sunatorn</w:t>
            </w:r>
            <w:proofErr w:type="spellEnd"/>
            <w:r w:rsidRPr="004E22F8">
              <w:rPr>
                <w:rFonts w:ascii="宋体" w:eastAsia="宋体" w:hAnsi="宋体" w:cs="宋体"/>
                <w:kern w:val="0"/>
                <w:sz w:val="24"/>
                <w:szCs w:val="24"/>
              </w:rPr>
              <w:t xml:space="preserve">, 2025). </w:t>
            </w:r>
          </w:p>
          <w:p w14:paraId="5E08F9EC" w14:textId="1AB3A4DA" w:rsidR="004E22F8" w:rsidRDefault="004E22F8" w:rsidP="004E22F8">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E</w:t>
            </w:r>
            <w:proofErr w:type="gramEnd"/>
            <w:r w:rsidRPr="004E22F8">
              <w:rPr>
                <w:rFonts w:ascii="宋体" w:eastAsia="宋体" w:hAnsi="宋体" w:cs="宋体"/>
                <w:kern w:val="0"/>
                <w:sz w:val="24"/>
                <w:szCs w:val="24"/>
              </w:rPr>
              <w:t>-governance restructures procedures for transparency and orientation, strengthening delivery via ICT and bridging divides (Ganiyu et al., 2017).</w:t>
            </w:r>
          </w:p>
        </w:tc>
      </w:tr>
      <w:tr w:rsidR="004E22F8" w14:paraId="67728B0A" w14:textId="77777777" w:rsidTr="004E22F8">
        <w:tc>
          <w:tcPr>
            <w:tcW w:w="704" w:type="dxa"/>
          </w:tcPr>
          <w:p w14:paraId="4CF575AA" w14:textId="6FDDDD7E" w:rsidR="004E22F8" w:rsidRDefault="004E22F8">
            <w:r>
              <w:rPr>
                <w:rFonts w:hint="eastAsia"/>
              </w:rPr>
              <w:lastRenderedPageBreak/>
              <w:t>2</w:t>
            </w:r>
          </w:p>
        </w:tc>
        <w:tc>
          <w:tcPr>
            <w:tcW w:w="7592" w:type="dxa"/>
          </w:tcPr>
          <w:p w14:paraId="0430891A"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government can transform Weberian bureaucracy by leveraging information technology to shift from rigid hierarchical structures to more responsive and accountable organizations, necessitating a fundamental change in values among public sector managers to overcome the irrelevance of traditional management in an information-intensive world (</w:t>
            </w:r>
            <w:proofErr w:type="spellStart"/>
            <w:r w:rsidRPr="004E22F8">
              <w:rPr>
                <w:rFonts w:ascii="宋体" w:eastAsia="宋体" w:hAnsi="宋体" w:cs="宋体"/>
                <w:kern w:val="0"/>
                <w:sz w:val="24"/>
                <w:szCs w:val="24"/>
              </w:rPr>
              <w:t>Heimler</w:t>
            </w:r>
            <w:proofErr w:type="spellEnd"/>
            <w:r w:rsidRPr="004E22F8">
              <w:rPr>
                <w:rFonts w:ascii="宋体" w:eastAsia="宋体" w:hAnsi="宋体" w:cs="宋体"/>
                <w:kern w:val="0"/>
                <w:sz w:val="24"/>
                <w:szCs w:val="24"/>
              </w:rPr>
              <w:t xml:space="preserve">, 1996). </w:t>
            </w:r>
          </w:p>
          <w:p w14:paraId="550850A8"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facilitates the co-evolution of technology, organizational networks, and institutional arrangements, potentially transforming internal processes and relationships between governments and other actors, though empirical evidence of such shifts from hierarchies to networked structures remains limited (Luna-Reyes &amp; Gil-García, 2014). </w:t>
            </w:r>
          </w:p>
          <w:p w14:paraId="3B0B2F4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Through</w:t>
            </w:r>
            <w:proofErr w:type="gramEnd"/>
            <w:r w:rsidRPr="004E22F8">
              <w:rPr>
                <w:rFonts w:ascii="宋体" w:eastAsia="宋体" w:hAnsi="宋体" w:cs="宋体"/>
                <w:kern w:val="0"/>
                <w:sz w:val="24"/>
                <w:szCs w:val="24"/>
              </w:rPr>
              <w:t xml:space="preserve"> Web 2.0 technologies, it enables the move from hierarchical constraints to flattened, networked structures by promoting transparency, accountability, communication, and collaboration, while addressing bureaucratic and </w:t>
            </w:r>
            <w:r w:rsidRPr="004E22F8">
              <w:rPr>
                <w:rFonts w:ascii="宋体" w:eastAsia="宋体" w:hAnsi="宋体" w:cs="宋体"/>
                <w:kern w:val="0"/>
                <w:sz w:val="24"/>
                <w:szCs w:val="24"/>
              </w:rPr>
              <w:lastRenderedPageBreak/>
              <w:t>institutional challenges that restrict information flow (</w:t>
            </w:r>
            <w:proofErr w:type="spellStart"/>
            <w:r w:rsidRPr="004E22F8">
              <w:rPr>
                <w:rFonts w:ascii="宋体" w:eastAsia="宋体" w:hAnsi="宋体" w:cs="宋体"/>
                <w:kern w:val="0"/>
                <w:sz w:val="24"/>
                <w:szCs w:val="24"/>
              </w:rPr>
              <w:t>Mergel</w:t>
            </w:r>
            <w:proofErr w:type="spellEnd"/>
            <w:r w:rsidRPr="004E22F8">
              <w:rPr>
                <w:rFonts w:ascii="宋体" w:eastAsia="宋体" w:hAnsi="宋体" w:cs="宋体"/>
                <w:kern w:val="0"/>
                <w:sz w:val="24"/>
                <w:szCs w:val="24"/>
              </w:rPr>
              <w:t xml:space="preserve"> et al., 2009). </w:t>
            </w:r>
          </w:p>
          <w:p w14:paraId="37225086"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transformation progresses in waves, adapting organizational elements to increase flexibility—either technology-enabled or policy-enabled—across bureaucratic levels, fostering a shift toward more networked and flexible structures in hierarchical contexts (Gong et al., 2020). </w:t>
            </w:r>
          </w:p>
          <w:p w14:paraId="3A77FD52"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promotes flexible, horizontal coordination and network-based governance over traditional Weberian ideals, as seen in the German Online Access Act, where vertical coordination complements but does not dominate, addressing complexity, risk, and power imbalances (</w:t>
            </w:r>
            <w:proofErr w:type="spellStart"/>
            <w:r w:rsidRPr="004E22F8">
              <w:rPr>
                <w:rFonts w:ascii="宋体" w:eastAsia="宋体" w:hAnsi="宋体" w:cs="宋体"/>
                <w:kern w:val="0"/>
                <w:sz w:val="24"/>
                <w:szCs w:val="24"/>
              </w:rPr>
              <w:t>Rackwitz</w:t>
            </w:r>
            <w:proofErr w:type="spellEnd"/>
            <w:r w:rsidRPr="004E22F8">
              <w:rPr>
                <w:rFonts w:ascii="宋体" w:eastAsia="宋体" w:hAnsi="宋体" w:cs="宋体"/>
                <w:kern w:val="0"/>
                <w:sz w:val="24"/>
                <w:szCs w:val="24"/>
              </w:rPr>
              <w:t xml:space="preserve"> et al., 2021). </w:t>
            </w:r>
          </w:p>
          <w:p w14:paraId="283E080F"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integrating information across organizational boundaries, it drives administrative reform toward networked structures, though hindered by institutional arrangements and structures that favor single-agency hierarchies and stove-pipe systems (Luna-Reyes et al., 2007). </w:t>
            </w:r>
          </w:p>
          <w:p w14:paraId="6EC7F60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Internet</w:t>
            </w:r>
            <w:proofErr w:type="gramEnd"/>
            <w:r w:rsidRPr="004E22F8">
              <w:rPr>
                <w:rFonts w:ascii="宋体" w:eastAsia="宋体" w:hAnsi="宋体" w:cs="宋体"/>
                <w:kern w:val="0"/>
                <w:sz w:val="24"/>
                <w:szCs w:val="24"/>
              </w:rPr>
              <w:t xml:space="preserve"> and information technologies blur boundaries among agencies, levels of government, and sectors, reshaping coordination, control, and communication to create a "virtual state" that moves away from traditional bureaucratic forms toward networked efficiency (Fountain, 2001). </w:t>
            </w:r>
          </w:p>
          <w:p w14:paraId="083718F5"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Utilizing</w:t>
            </w:r>
            <w:proofErr w:type="gramEnd"/>
            <w:r w:rsidRPr="004E22F8">
              <w:rPr>
                <w:rFonts w:ascii="宋体" w:eastAsia="宋体" w:hAnsi="宋体" w:cs="宋体"/>
                <w:kern w:val="0"/>
                <w:sz w:val="24"/>
                <w:szCs w:val="24"/>
              </w:rPr>
              <w:t xml:space="preserve"> open standards and architectures, it disintegrates traditional hierarchical "black boxed" technologies and reaggregates them around citizen-centric services, enabling government to become technology-agnostic and drive innovation beyond departmental silos (</w:t>
            </w:r>
            <w:proofErr w:type="spellStart"/>
            <w:r w:rsidRPr="004E22F8">
              <w:rPr>
                <w:rFonts w:ascii="宋体" w:eastAsia="宋体" w:hAnsi="宋体" w:cs="宋体"/>
                <w:kern w:val="0"/>
                <w:sz w:val="24"/>
                <w:szCs w:val="24"/>
              </w:rPr>
              <w:t>Fishenden</w:t>
            </w:r>
            <w:proofErr w:type="spellEnd"/>
            <w:r w:rsidRPr="004E22F8">
              <w:rPr>
                <w:rFonts w:ascii="宋体" w:eastAsia="宋体" w:hAnsi="宋体" w:cs="宋体"/>
                <w:kern w:val="0"/>
                <w:sz w:val="24"/>
                <w:szCs w:val="24"/>
              </w:rPr>
              <w:t xml:space="preserve"> &amp; Thompson, 2013). </w:t>
            </w:r>
          </w:p>
          <w:p w14:paraId="64713E5E" w14:textId="44C52660" w:rsidR="004E22F8" w:rsidRDefault="004E22F8" w:rsidP="004E22F8">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shifts from bureaucracy-driven structures to collaborative digital governance models, fostering interoperable and accountable administrative networks that enhance cross-agency relationships and move toward flattened, partnership-based organizations (</w:t>
            </w:r>
            <w:proofErr w:type="spellStart"/>
            <w:r w:rsidRPr="004E22F8">
              <w:rPr>
                <w:rFonts w:ascii="宋体" w:eastAsia="宋体" w:hAnsi="宋体" w:cs="宋体"/>
                <w:kern w:val="0"/>
                <w:sz w:val="24"/>
                <w:szCs w:val="24"/>
              </w:rPr>
              <w:t>Milakovich</w:t>
            </w:r>
            <w:proofErr w:type="spellEnd"/>
            <w:r w:rsidRPr="004E22F8">
              <w:rPr>
                <w:rFonts w:ascii="宋体" w:eastAsia="宋体" w:hAnsi="宋体" w:cs="宋体"/>
                <w:kern w:val="0"/>
                <w:sz w:val="24"/>
                <w:szCs w:val="24"/>
              </w:rPr>
              <w:t>, 2014).</w:t>
            </w:r>
          </w:p>
        </w:tc>
      </w:tr>
      <w:tr w:rsidR="004E22F8" w14:paraId="13DC34CC" w14:textId="77777777" w:rsidTr="004E22F8">
        <w:tc>
          <w:tcPr>
            <w:tcW w:w="704" w:type="dxa"/>
          </w:tcPr>
          <w:p w14:paraId="1AF3FB4B" w14:textId="2D873099" w:rsidR="004E22F8" w:rsidRDefault="004E22F8">
            <w:r>
              <w:rPr>
                <w:rFonts w:hint="eastAsia"/>
              </w:rPr>
              <w:lastRenderedPageBreak/>
              <w:t>3</w:t>
            </w:r>
          </w:p>
        </w:tc>
        <w:tc>
          <w:tcPr>
            <w:tcW w:w="7592" w:type="dxa"/>
          </w:tcPr>
          <w:p w14:paraId="62B47C81"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government can transform Weberian bureaucracy by treating data as a core asset, fostering evidence-led policy making and data-backed service design, thereby evolving from static rule-based processes to dynamic, data-driven operational logic that emphasizes integrity, openness, and fairness in governance cycles (</w:t>
            </w:r>
            <w:proofErr w:type="spellStart"/>
            <w:r w:rsidRPr="004E22F8">
              <w:rPr>
                <w:rFonts w:ascii="宋体" w:eastAsia="宋体" w:hAnsi="宋体" w:cs="宋体"/>
                <w:kern w:val="0"/>
                <w:sz w:val="24"/>
                <w:szCs w:val="24"/>
              </w:rPr>
              <w:t>Ooijen</w:t>
            </w:r>
            <w:proofErr w:type="spellEnd"/>
            <w:r w:rsidRPr="004E22F8">
              <w:rPr>
                <w:rFonts w:ascii="宋体" w:eastAsia="宋体" w:hAnsi="宋体" w:cs="宋体"/>
                <w:kern w:val="0"/>
                <w:sz w:val="24"/>
                <w:szCs w:val="24"/>
              </w:rPr>
              <w:t xml:space="preserve"> et al., 2019). </w:t>
            </w:r>
          </w:p>
          <w:p w14:paraId="41195DC5"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catalyzes change through Big Data Analytics, enabling data-driven decision-making and enhanced citizen engagement, shifting rigid bureaucratic processes to flexible, transformative e-Government models that address </w:t>
            </w:r>
            <w:r w:rsidRPr="004E22F8">
              <w:rPr>
                <w:rFonts w:ascii="宋体" w:eastAsia="宋体" w:hAnsi="宋体" w:cs="宋体"/>
                <w:kern w:val="0"/>
                <w:sz w:val="24"/>
                <w:szCs w:val="24"/>
              </w:rPr>
              <w:lastRenderedPageBreak/>
              <w:t>implementation challenges like infrastructure and skills (</w:t>
            </w:r>
            <w:proofErr w:type="spellStart"/>
            <w:r w:rsidRPr="004E22F8">
              <w:rPr>
                <w:rFonts w:ascii="宋体" w:eastAsia="宋体" w:hAnsi="宋体" w:cs="宋体"/>
                <w:kern w:val="0"/>
                <w:sz w:val="24"/>
                <w:szCs w:val="24"/>
              </w:rPr>
              <w:t>Vasilopoulou</w:t>
            </w:r>
            <w:proofErr w:type="spellEnd"/>
            <w:r w:rsidRPr="004E22F8">
              <w:rPr>
                <w:rFonts w:ascii="宋体" w:eastAsia="宋体" w:hAnsi="宋体" w:cs="宋体"/>
                <w:kern w:val="0"/>
                <w:sz w:val="24"/>
                <w:szCs w:val="24"/>
              </w:rPr>
              <w:t xml:space="preserve"> et al., 2023). </w:t>
            </w:r>
          </w:p>
          <w:p w14:paraId="052F208B"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integrating automation with data-driven approaches, it streamlines efficiency in public administration while preserving discretion for complex cases, moving from purely rule-bound operations to a hybrid "digital nomos" that balances automated rules with adaptive, data-informed processes (Henriksen, 2018). </w:t>
            </w:r>
          </w:p>
          <w:p w14:paraId="7C001D07"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transformation enhances governance by automating causal impact assessments using micro-level data from digitized systems, promoting evidence-based policy-making and allowing for responsive, flexible service delivery over traditional hierarchical rule enforcement (</w:t>
            </w:r>
            <w:proofErr w:type="spellStart"/>
            <w:r w:rsidRPr="004E22F8">
              <w:rPr>
                <w:rFonts w:ascii="宋体" w:eastAsia="宋体" w:hAnsi="宋体" w:cs="宋体"/>
                <w:kern w:val="0"/>
                <w:sz w:val="24"/>
                <w:szCs w:val="24"/>
              </w:rPr>
              <w:t>Maksimova</w:t>
            </w:r>
            <w:proofErr w:type="spellEnd"/>
            <w:r w:rsidRPr="004E22F8">
              <w:rPr>
                <w:rFonts w:ascii="宋体" w:eastAsia="宋体" w:hAnsi="宋体" w:cs="宋体"/>
                <w:kern w:val="0"/>
                <w:sz w:val="24"/>
                <w:szCs w:val="24"/>
              </w:rPr>
              <w:t xml:space="preserve"> et al., 2022). </w:t>
            </w:r>
          </w:p>
          <w:p w14:paraId="2B66A003"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emphasizes data-centricity and model-oriented paradigms to enable seamless public services and semantic interoperability, overcoming regulatory barriers to shift from siloed, rule-dominated logic to integrated, data-sharing processes essential for comprehensive digital economy programs (</w:t>
            </w:r>
            <w:proofErr w:type="spellStart"/>
            <w:r w:rsidRPr="004E22F8">
              <w:rPr>
                <w:rFonts w:ascii="宋体" w:eastAsia="宋体" w:hAnsi="宋体" w:cs="宋体"/>
                <w:kern w:val="0"/>
                <w:sz w:val="24"/>
                <w:szCs w:val="24"/>
              </w:rPr>
              <w:t>Akatkin</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Yasinovskaya</w:t>
            </w:r>
            <w:proofErr w:type="spellEnd"/>
            <w:r w:rsidRPr="004E22F8">
              <w:rPr>
                <w:rFonts w:ascii="宋体" w:eastAsia="宋体" w:hAnsi="宋体" w:cs="宋体"/>
                <w:kern w:val="0"/>
                <w:sz w:val="24"/>
                <w:szCs w:val="24"/>
              </w:rPr>
              <w:t xml:space="preserve">, 2018). </w:t>
            </w:r>
          </w:p>
          <w:p w14:paraId="1B156058"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Through</w:t>
            </w:r>
            <w:proofErr w:type="gramEnd"/>
            <w:r w:rsidRPr="004E22F8">
              <w:rPr>
                <w:rFonts w:ascii="宋体" w:eastAsia="宋体" w:hAnsi="宋体" w:cs="宋体"/>
                <w:kern w:val="0"/>
                <w:sz w:val="24"/>
                <w:szCs w:val="24"/>
              </w:rPr>
              <w:t xml:space="preserve"> big data analytics, it enhances knowledge and decision-making across policy phases like planning, design, delivery, and evaluation, transforming manual, rule-based governance into accurate, context-oriented digital and smart systems that bridge technical and political changes (</w:t>
            </w:r>
            <w:proofErr w:type="spellStart"/>
            <w:r w:rsidRPr="004E22F8">
              <w:rPr>
                <w:rFonts w:ascii="宋体" w:eastAsia="宋体" w:hAnsi="宋体" w:cs="宋体"/>
                <w:kern w:val="0"/>
                <w:sz w:val="24"/>
                <w:szCs w:val="24"/>
              </w:rPr>
              <w:t>Hossin</w:t>
            </w:r>
            <w:proofErr w:type="spellEnd"/>
            <w:r w:rsidRPr="004E22F8">
              <w:rPr>
                <w:rFonts w:ascii="宋体" w:eastAsia="宋体" w:hAnsi="宋体" w:cs="宋体"/>
                <w:kern w:val="0"/>
                <w:sz w:val="24"/>
                <w:szCs w:val="24"/>
              </w:rPr>
              <w:t xml:space="preserve"> et al., 2023). </w:t>
            </w:r>
          </w:p>
          <w:p w14:paraId="1E1DCDDD"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Leveraging</w:t>
            </w:r>
            <w:proofErr w:type="gramEnd"/>
            <w:r w:rsidRPr="004E22F8">
              <w:rPr>
                <w:rFonts w:ascii="宋体" w:eastAsia="宋体" w:hAnsi="宋体" w:cs="宋体"/>
                <w:kern w:val="0"/>
                <w:sz w:val="24"/>
                <w:szCs w:val="24"/>
              </w:rPr>
              <w:t xml:space="preserve"> AI, IoT, big data, and blockchain, it revolutionizes public services via </w:t>
            </w:r>
            <w:proofErr w:type="spellStart"/>
            <w:r w:rsidRPr="004E22F8">
              <w:rPr>
                <w:rFonts w:ascii="宋体" w:eastAsia="宋体" w:hAnsi="宋体" w:cs="宋体"/>
                <w:kern w:val="0"/>
                <w:sz w:val="24"/>
                <w:szCs w:val="24"/>
              </w:rPr>
              <w:t>GovTech</w:t>
            </w:r>
            <w:proofErr w:type="spellEnd"/>
            <w:r w:rsidRPr="004E22F8">
              <w:rPr>
                <w:rFonts w:ascii="宋体" w:eastAsia="宋体" w:hAnsi="宋体" w:cs="宋体"/>
                <w:kern w:val="0"/>
                <w:sz w:val="24"/>
                <w:szCs w:val="24"/>
              </w:rPr>
              <w:t>, automating compliance, real-time infrastructure management, and predictive analytics to evolve from bureaucratic rule adherence to proactive, data-driven operational mechanisms (</w:t>
            </w:r>
            <w:proofErr w:type="spellStart"/>
            <w:r w:rsidRPr="004E22F8">
              <w:rPr>
                <w:rFonts w:ascii="宋体" w:eastAsia="宋体" w:hAnsi="宋体" w:cs="宋体"/>
                <w:kern w:val="0"/>
                <w:sz w:val="24"/>
                <w:szCs w:val="24"/>
              </w:rPr>
              <w:t>Engin</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Treleaven</w:t>
            </w:r>
            <w:proofErr w:type="spellEnd"/>
            <w:r w:rsidRPr="004E22F8">
              <w:rPr>
                <w:rFonts w:ascii="宋体" w:eastAsia="宋体" w:hAnsi="宋体" w:cs="宋体"/>
                <w:kern w:val="0"/>
                <w:sz w:val="24"/>
                <w:szCs w:val="24"/>
              </w:rPr>
              <w:t xml:space="preserve">, 2019). </w:t>
            </w:r>
          </w:p>
          <w:p w14:paraId="786F4C1B"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Data</w:t>
            </w:r>
            <w:proofErr w:type="gramEnd"/>
            <w:r w:rsidRPr="004E22F8">
              <w:rPr>
                <w:rFonts w:ascii="宋体" w:eastAsia="宋体" w:hAnsi="宋体" w:cs="宋体"/>
                <w:kern w:val="0"/>
                <w:sz w:val="24"/>
                <w:szCs w:val="24"/>
              </w:rPr>
              <w:t xml:space="preserve"> technologies unlock opportunities for transparency, innovation, public participation, and efficiency, while addressing challenges like privacy and cultural obstacles, paving the way for a data-usable public sector that innovates beyond rigid bureaucratic processes (Christodoulou et al., 2018). </w:t>
            </w:r>
          </w:p>
          <w:p w14:paraId="60C7AA2F"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harnessing big data with machine learning and AI, it fosters a smart, citizen-centric e-Government model, shifting from static rule application to proactive, data-enabled processes that modernize service delivery through predictive and adaptive logic (</w:t>
            </w:r>
            <w:proofErr w:type="spellStart"/>
            <w:r w:rsidRPr="004E22F8">
              <w:rPr>
                <w:rFonts w:ascii="宋体" w:eastAsia="宋体" w:hAnsi="宋体" w:cs="宋体"/>
                <w:kern w:val="0"/>
                <w:sz w:val="24"/>
                <w:szCs w:val="24"/>
              </w:rPr>
              <w:t>Agbozo</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Spassov</w:t>
            </w:r>
            <w:proofErr w:type="spellEnd"/>
            <w:r w:rsidRPr="004E22F8">
              <w:rPr>
                <w:rFonts w:ascii="宋体" w:eastAsia="宋体" w:hAnsi="宋体" w:cs="宋体"/>
                <w:kern w:val="0"/>
                <w:sz w:val="24"/>
                <w:szCs w:val="24"/>
              </w:rPr>
              <w:t xml:space="preserve">, 2018). </w:t>
            </w:r>
          </w:p>
          <w:p w14:paraId="66D8A902"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lastRenderedPageBreak/>
              <w:t></w:t>
            </w:r>
            <w:r w:rsidRPr="004E22F8">
              <w:rPr>
                <w:rFonts w:ascii="宋体" w:eastAsia="宋体" w:hAnsi="宋体" w:cs="宋体"/>
                <w:kern w:val="0"/>
                <w:sz w:val="24"/>
                <w:szCs w:val="24"/>
              </w:rPr>
              <w:t xml:space="preserve">  Big</w:t>
            </w:r>
            <w:proofErr w:type="gramEnd"/>
            <w:r w:rsidRPr="004E22F8">
              <w:rPr>
                <w:rFonts w:ascii="宋体" w:eastAsia="宋体" w:hAnsi="宋体" w:cs="宋体"/>
                <w:kern w:val="0"/>
                <w:sz w:val="24"/>
                <w:szCs w:val="24"/>
              </w:rPr>
              <w:t xml:space="preserve"> data drives transformational government by boosting efficiency and effectiveness in service delivery, as modeled through case studies, transitioning from hierarchical rule enforcement to integrated, data-leveraged operational frameworks (Joseph &amp; Johnson, 2013). </w:t>
            </w:r>
          </w:p>
          <w:p w14:paraId="20D8AD10"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AI</w:t>
            </w:r>
            <w:proofErr w:type="gramEnd"/>
            <w:r w:rsidRPr="004E22F8">
              <w:rPr>
                <w:rFonts w:ascii="宋体" w:eastAsia="宋体" w:hAnsi="宋体" w:cs="宋体"/>
                <w:kern w:val="0"/>
                <w:sz w:val="24"/>
                <w:szCs w:val="24"/>
              </w:rPr>
              <w:t xml:space="preserve">-powered systems accelerate digital transformation by providing real-time insights via data analytics and visualization, enhancing transparency and accountability while reshaping governance from rule-centric to adaptive, dynamic decision-making processes (Muhammad et al., 2024). </w:t>
            </w:r>
          </w:p>
          <w:p w14:paraId="304CF83E" w14:textId="3373F18A" w:rsidR="004E22F8" w:rsidRDefault="004E22F8" w:rsidP="004E22F8">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Implementing</w:t>
            </w:r>
            <w:proofErr w:type="gramEnd"/>
            <w:r w:rsidRPr="004E22F8">
              <w:rPr>
                <w:rFonts w:ascii="宋体" w:eastAsia="宋体" w:hAnsi="宋体" w:cs="宋体"/>
                <w:kern w:val="0"/>
                <w:sz w:val="24"/>
                <w:szCs w:val="24"/>
              </w:rPr>
              <w:t xml:space="preserve"> Evidence-Based Policy Making in agencies shifts operational logic to data-driven decision-making, supported by quality data, advanced analytics, and institutional factors, enabling or constraining the move from rule-based rigidity to flexible, interoperable processes (Choi et al., 2021).</w:t>
            </w:r>
          </w:p>
        </w:tc>
      </w:tr>
      <w:tr w:rsidR="004E22F8" w14:paraId="5EEBD3EF" w14:textId="77777777" w:rsidTr="004E22F8">
        <w:tc>
          <w:tcPr>
            <w:tcW w:w="704" w:type="dxa"/>
          </w:tcPr>
          <w:p w14:paraId="13EE991E" w14:textId="366020F2" w:rsidR="004E22F8" w:rsidRDefault="004E22F8">
            <w:r>
              <w:rPr>
                <w:rFonts w:hint="eastAsia"/>
              </w:rPr>
              <w:lastRenderedPageBreak/>
              <w:t>4</w:t>
            </w:r>
          </w:p>
        </w:tc>
        <w:tc>
          <w:tcPr>
            <w:tcW w:w="7592" w:type="dxa"/>
          </w:tcPr>
          <w:p w14:paraId="4BE0AC68"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government can transform Weberian bureaucracy by leveraging IT to promote inter-agency collaboration and information integration, overcoming challenges like data incompatibility and silo structures to redistribute administrative power through shared objectives and virtual integration across government branches (Gil-García, 2012). </w:t>
            </w:r>
          </w:p>
          <w:p w14:paraId="0542ED93"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enables the identification of common projects across agencies to reduce duplication and balance IT resources, while advocating neutral leadership to harmonize regulations, thereby reallocating departmental responsibilities toward agile, shared governance models that decentralize power (Mian et al., 2025). </w:t>
            </w:r>
          </w:p>
          <w:p w14:paraId="73A0C111"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Through</w:t>
            </w:r>
            <w:proofErr w:type="gramEnd"/>
            <w:r w:rsidRPr="004E22F8">
              <w:rPr>
                <w:rFonts w:ascii="宋体" w:eastAsia="宋体" w:hAnsi="宋体" w:cs="宋体"/>
                <w:kern w:val="0"/>
                <w:sz w:val="24"/>
                <w:szCs w:val="24"/>
              </w:rPr>
              <w:t xml:space="preserve"> strategies like the Penta-helix model and dedicated units like </w:t>
            </w:r>
            <w:proofErr w:type="spellStart"/>
            <w:r w:rsidRPr="004E22F8">
              <w:rPr>
                <w:rFonts w:ascii="宋体" w:eastAsia="宋体" w:hAnsi="宋体" w:cs="宋体"/>
                <w:kern w:val="0"/>
                <w:sz w:val="24"/>
                <w:szCs w:val="24"/>
              </w:rPr>
              <w:t>Jabar</w:t>
            </w:r>
            <w:proofErr w:type="spellEnd"/>
            <w:r w:rsidRPr="004E22F8">
              <w:rPr>
                <w:rFonts w:ascii="宋体" w:eastAsia="宋体" w:hAnsi="宋体" w:cs="宋体"/>
                <w:kern w:val="0"/>
                <w:sz w:val="24"/>
                <w:szCs w:val="24"/>
              </w:rPr>
              <w:t xml:space="preserve"> Digital Service, it fosters facilitative leadership to integrate responsibilities across sectors, redistributing administrative power from siloed hierarchies to collaborative, citizen-demand-driven networks (Maulana et al., 2024). </w:t>
            </w:r>
          </w:p>
          <w:p w14:paraId="791BB0DE"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platforms utilize technologies such as cloud computing, big data, and AI to integrate data resources and optimize departmental structures, enabling shared mechanisms that redistribute power and foster inter-departmental collaboration beyond traditional silos (Gao, 2024). </w:t>
            </w:r>
          </w:p>
          <w:p w14:paraId="365D330E"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necessitating information integration across boundaries, it challenges single-agency incentives and stove-pipe systems, potentially reallocating administrative power through enhanced trust and collaborative structures, though hindered by institutional barriers (Luna-Reyes et al., 2007). </w:t>
            </w:r>
          </w:p>
          <w:p w14:paraId="307C640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lastRenderedPageBreak/>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enhances inter-agency networks by emphasizing multi-level leadership, formal governance, and trust-building, redistributing power through flexible implementation that integrates departmental responsibilities in digital settings (</w:t>
            </w:r>
            <w:proofErr w:type="spellStart"/>
            <w:r w:rsidRPr="004E22F8">
              <w:rPr>
                <w:rFonts w:ascii="宋体" w:eastAsia="宋体" w:hAnsi="宋体" w:cs="宋体"/>
                <w:kern w:val="0"/>
                <w:sz w:val="24"/>
                <w:szCs w:val="24"/>
              </w:rPr>
              <w:t>Gascó</w:t>
            </w:r>
            <w:proofErr w:type="spellEnd"/>
            <w:r w:rsidRPr="004E22F8">
              <w:rPr>
                <w:rFonts w:ascii="宋体" w:eastAsia="宋体" w:hAnsi="宋体" w:cs="宋体"/>
                <w:kern w:val="0"/>
                <w:sz w:val="24"/>
                <w:szCs w:val="24"/>
              </w:rPr>
              <w:t xml:space="preserve">-Hernández et al., 2022). </w:t>
            </w:r>
          </w:p>
          <w:p w14:paraId="2F16F089"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transformation promotes collaborative governance by integrating departmental functions via unified platforms, shifting administrative power from hierarchical silos to networked, citizen-centric models that emphasize inclusivity and accountability (Wihlborg et al., 2016). </w:t>
            </w:r>
          </w:p>
          <w:p w14:paraId="1E1678E2"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Through</w:t>
            </w:r>
            <w:proofErr w:type="gramEnd"/>
            <w:r w:rsidRPr="004E22F8">
              <w:rPr>
                <w:rFonts w:ascii="宋体" w:eastAsia="宋体" w:hAnsi="宋体" w:cs="宋体"/>
                <w:kern w:val="0"/>
                <w:sz w:val="24"/>
                <w:szCs w:val="24"/>
              </w:rPr>
              <w:t xml:space="preserve"> platform-enabled governance, it integrates distributed systems into sequential workflows without formal reforms, redistributing power by facilitating horizontal, vertical, and public-private collaborations that enhance information flow across boundaries (Zeng et al., 2022). </w:t>
            </w:r>
          </w:p>
          <w:p w14:paraId="5F284A05"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leverages electronic-based systems to link cross-sectoral agencies, redistributing administrative power through joint decision-making and collaborative objectives that align departmental responsibilities for inclusive policy delivery (Maulana &amp; </w:t>
            </w:r>
            <w:proofErr w:type="spellStart"/>
            <w:r w:rsidRPr="004E22F8">
              <w:rPr>
                <w:rFonts w:ascii="宋体" w:eastAsia="宋体" w:hAnsi="宋体" w:cs="宋体"/>
                <w:kern w:val="0"/>
                <w:sz w:val="24"/>
                <w:szCs w:val="24"/>
              </w:rPr>
              <w:t>Firmansyah</w:t>
            </w:r>
            <w:proofErr w:type="spellEnd"/>
            <w:r w:rsidRPr="004E22F8">
              <w:rPr>
                <w:rFonts w:ascii="宋体" w:eastAsia="宋体" w:hAnsi="宋体" w:cs="宋体"/>
                <w:kern w:val="0"/>
                <w:sz w:val="24"/>
                <w:szCs w:val="24"/>
              </w:rPr>
              <w:t xml:space="preserve">, 2023). </w:t>
            </w:r>
          </w:p>
          <w:p w14:paraId="27AC8C71"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forming specialized institutions like West Java Digital Service outside traditional bureaucracy, it accelerates integration of responsibilities, shifting power toward adaptive, data-driven models that support responsive governance across agencies (Maulana et al., 2022). </w:t>
            </w:r>
          </w:p>
          <w:p w14:paraId="219490B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ICT</w:t>
            </w:r>
            <w:proofErr w:type="gramEnd"/>
            <w:r w:rsidRPr="004E22F8">
              <w:rPr>
                <w:rFonts w:ascii="宋体" w:eastAsia="宋体" w:hAnsi="宋体" w:cs="宋体"/>
                <w:kern w:val="0"/>
                <w:sz w:val="24"/>
                <w:szCs w:val="24"/>
              </w:rPr>
              <w:t xml:space="preserve"> reshapes leadership and trust dynamics in collaborative governance, redistributing administrative power by integrating technology as a non-human actor in joint actions, while maintaining human-centered decision-making to address inter-departmental silos (Viana, 2025). </w:t>
            </w:r>
          </w:p>
          <w:p w14:paraId="5B81534A"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In</w:t>
            </w:r>
            <w:proofErr w:type="gramEnd"/>
            <w:r w:rsidRPr="004E22F8">
              <w:rPr>
                <w:rFonts w:ascii="宋体" w:eastAsia="宋体" w:hAnsi="宋体" w:cs="宋体"/>
                <w:kern w:val="0"/>
                <w:sz w:val="24"/>
                <w:szCs w:val="24"/>
              </w:rPr>
              <w:t xml:space="preserve"> the shift to digital-era governance (DEG), it reintegrates fragmented functions into holistic structures, redistributing administrative power from disaggregated silos to networked, needs-oriented systems that enhance collaborative efficiency (Dunleavy et al., 2005). </w:t>
            </w:r>
          </w:p>
          <w:p w14:paraId="01E23A86" w14:textId="0B65134E" w:rsidR="004E22F8" w:rsidRDefault="004E22F8" w:rsidP="004E22F8">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addressing constraints like divergent missions and operational diversity, it reallocates departmental responsibilities through principles of purpose, partnership, and explicit design, fostering shared power in collaborative systems across multiple initiatives (Dawes &amp; Pardo, 2002).</w:t>
            </w:r>
          </w:p>
        </w:tc>
      </w:tr>
      <w:tr w:rsidR="004E22F8" w14:paraId="4816205C" w14:textId="77777777" w:rsidTr="004E22F8">
        <w:tc>
          <w:tcPr>
            <w:tcW w:w="704" w:type="dxa"/>
          </w:tcPr>
          <w:p w14:paraId="72FD34F0" w14:textId="20DCA2B5" w:rsidR="004E22F8" w:rsidRDefault="004E22F8">
            <w:r>
              <w:rPr>
                <w:rFonts w:hint="eastAsia"/>
              </w:rPr>
              <w:lastRenderedPageBreak/>
              <w:t>5</w:t>
            </w:r>
          </w:p>
        </w:tc>
        <w:tc>
          <w:tcPr>
            <w:tcW w:w="7592" w:type="dxa"/>
          </w:tcPr>
          <w:p w14:paraId="2B5BD5D9"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government can transform Weberian bureaucracy by leveraging transformational leadership to enhance dynamic capabilities in projects, fostering adaptive behaviors amid technological novelty, though its weak impact on adaptive </w:t>
            </w:r>
            <w:r w:rsidRPr="004E22F8">
              <w:rPr>
                <w:rFonts w:ascii="宋体" w:eastAsia="宋体" w:hAnsi="宋体" w:cs="宋体"/>
                <w:kern w:val="0"/>
                <w:sz w:val="24"/>
                <w:szCs w:val="24"/>
              </w:rPr>
              <w:lastRenderedPageBreak/>
              <w:t xml:space="preserve">capability highlights the need for complementary adaptive leadership to fully shift from rigid hierarchies to flexible, innovative governance (Huang et al., 2023). </w:t>
            </w:r>
          </w:p>
          <w:p w14:paraId="7D27B6E7"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empowers leaders with digital competencies like data analytics and strategic thinking to navigate complex environments, cultivating innovative mindsets that drive policy adoption and cultural shifts, thereby evolving bureaucratic rigidity into agile, citizen-focused administration (B &amp; </w:t>
            </w:r>
            <w:proofErr w:type="spellStart"/>
            <w:r w:rsidRPr="004E22F8">
              <w:rPr>
                <w:rFonts w:ascii="宋体" w:eastAsia="宋体" w:hAnsi="宋体" w:cs="宋体"/>
                <w:kern w:val="0"/>
                <w:sz w:val="24"/>
                <w:szCs w:val="24"/>
              </w:rPr>
              <w:t>Djabbari</w:t>
            </w:r>
            <w:proofErr w:type="spellEnd"/>
            <w:r w:rsidRPr="004E22F8">
              <w:rPr>
                <w:rFonts w:ascii="宋体" w:eastAsia="宋体" w:hAnsi="宋体" w:cs="宋体"/>
                <w:kern w:val="0"/>
                <w:sz w:val="24"/>
                <w:szCs w:val="24"/>
              </w:rPr>
              <w:t xml:space="preserve">, 2024). </w:t>
            </w:r>
          </w:p>
          <w:p w14:paraId="77A0AA49"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Through</w:t>
            </w:r>
            <w:proofErr w:type="gramEnd"/>
            <w:r w:rsidRPr="004E22F8">
              <w:rPr>
                <w:rFonts w:ascii="宋体" w:eastAsia="宋体" w:hAnsi="宋体" w:cs="宋体"/>
                <w:kern w:val="0"/>
                <w:sz w:val="24"/>
                <w:szCs w:val="24"/>
              </w:rPr>
              <w:t xml:space="preserve"> neutral and facilitative leadership, it promotes agile structures and dynamic capabilities, enabling leaders to harmonize inter-agency regulations and adapt to rapid changes, transitioning from siloed bureaucracy to collaborative, responsive governance models (Mian et al., 2025). </w:t>
            </w:r>
          </w:p>
          <w:p w14:paraId="69B1A1C9"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Leadership</w:t>
            </w:r>
            <w:proofErr w:type="gramEnd"/>
            <w:r w:rsidRPr="004E22F8">
              <w:rPr>
                <w:rFonts w:ascii="宋体" w:eastAsia="宋体" w:hAnsi="宋体" w:cs="宋体"/>
                <w:kern w:val="0"/>
                <w:sz w:val="24"/>
                <w:szCs w:val="24"/>
              </w:rPr>
              <w:t xml:space="preserve"> emerges as a critical competence in e-government, combining technological knowledge, business vision, and customer orientation to guide transformations, facilitating a move from hierarchical rigidity to adaptive, user-oriented digital frameworks (</w:t>
            </w:r>
            <w:proofErr w:type="spellStart"/>
            <w:r w:rsidRPr="004E22F8">
              <w:rPr>
                <w:rFonts w:ascii="宋体" w:eastAsia="宋体" w:hAnsi="宋体" w:cs="宋体"/>
                <w:kern w:val="0"/>
                <w:sz w:val="24"/>
                <w:szCs w:val="24"/>
              </w:rPr>
              <w:t>Cuya</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Oré</w:t>
            </w:r>
            <w:proofErr w:type="spellEnd"/>
            <w:r w:rsidRPr="004E22F8">
              <w:rPr>
                <w:rFonts w:ascii="宋体" w:eastAsia="宋体" w:hAnsi="宋体" w:cs="宋体"/>
                <w:kern w:val="0"/>
                <w:sz w:val="24"/>
                <w:szCs w:val="24"/>
              </w:rPr>
              <w:t xml:space="preserve">, 2021). </w:t>
            </w:r>
          </w:p>
          <w:p w14:paraId="5E98922E"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emphasizing visionary leadership and inclusive strategies, it addresses legacy systems and resistance, empowering leaders to foster cross-sector collaboration and adaptive policies, shifting bureaucratic structures toward flexible, digitally mature governance (Wahid et al., 2024). </w:t>
            </w:r>
          </w:p>
          <w:p w14:paraId="1E2CD9B6"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Digital</w:t>
            </w:r>
            <w:proofErr w:type="gramEnd"/>
            <w:r w:rsidRPr="004E22F8">
              <w:rPr>
                <w:rFonts w:ascii="宋体" w:eastAsia="宋体" w:hAnsi="宋体" w:cs="宋体"/>
                <w:kern w:val="0"/>
                <w:sz w:val="24"/>
                <w:szCs w:val="24"/>
              </w:rPr>
              <w:t xml:space="preserve"> leadership integrates skills in innovation and stakeholder engagement to enhance transparency and participation, driving the evolution from rule-bound hierarchies to flexible, accountable governance through systematic adoption of digital tools (</w:t>
            </w:r>
            <w:proofErr w:type="spellStart"/>
            <w:r w:rsidRPr="004E22F8">
              <w:rPr>
                <w:rFonts w:ascii="宋体" w:eastAsia="宋体" w:hAnsi="宋体" w:cs="宋体"/>
                <w:kern w:val="0"/>
                <w:sz w:val="24"/>
                <w:szCs w:val="24"/>
              </w:rPr>
              <w:t>Nuryadin</w:t>
            </w:r>
            <w:proofErr w:type="spellEnd"/>
            <w:r w:rsidRPr="004E22F8">
              <w:rPr>
                <w:rFonts w:ascii="宋体" w:eastAsia="宋体" w:hAnsi="宋体" w:cs="宋体"/>
                <w:kern w:val="0"/>
                <w:sz w:val="24"/>
                <w:szCs w:val="24"/>
              </w:rPr>
              <w:t xml:space="preserve"> et al., 2023). </w:t>
            </w:r>
          </w:p>
          <w:p w14:paraId="39A8DD48"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requires leaders to blend collaborative and adaptive styles with institutional design, tailoring rules and structures to overcome rigidity, as multi-country cases show how such capabilities enable flexible implementation in digital projects (</w:t>
            </w:r>
            <w:proofErr w:type="spellStart"/>
            <w:r w:rsidRPr="004E22F8">
              <w:rPr>
                <w:rFonts w:ascii="宋体" w:eastAsia="宋体" w:hAnsi="宋体" w:cs="宋体"/>
                <w:kern w:val="0"/>
                <w:sz w:val="24"/>
                <w:szCs w:val="24"/>
              </w:rPr>
              <w:t>Breaugh</w:t>
            </w:r>
            <w:proofErr w:type="spellEnd"/>
            <w:r w:rsidRPr="004E22F8">
              <w:rPr>
                <w:rFonts w:ascii="宋体" w:eastAsia="宋体" w:hAnsi="宋体" w:cs="宋体"/>
                <w:kern w:val="0"/>
                <w:sz w:val="24"/>
                <w:szCs w:val="24"/>
              </w:rPr>
              <w:t xml:space="preserve"> et al., 2023). </w:t>
            </w:r>
          </w:p>
          <w:p w14:paraId="1E3DD58C"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Leaders</w:t>
            </w:r>
            <w:proofErr w:type="gramEnd"/>
            <w:r w:rsidRPr="004E22F8">
              <w:rPr>
                <w:rFonts w:ascii="宋体" w:eastAsia="宋体" w:hAnsi="宋体" w:cs="宋体"/>
                <w:kern w:val="0"/>
                <w:sz w:val="24"/>
                <w:szCs w:val="24"/>
              </w:rPr>
              <w:t xml:space="preserve"> must cultivate adaptive mindsets and ethical practices to harness emerging technologies, transitioning from autocratic bureaucracy to inclusive, digitally empowered governance that prioritizes equity and societal impact (</w:t>
            </w:r>
            <w:proofErr w:type="spellStart"/>
            <w:r w:rsidRPr="004E22F8">
              <w:rPr>
                <w:rFonts w:ascii="宋体" w:eastAsia="宋体" w:hAnsi="宋体" w:cs="宋体"/>
                <w:kern w:val="0"/>
                <w:sz w:val="24"/>
                <w:szCs w:val="24"/>
              </w:rPr>
              <w:t>Kusnandar</w:t>
            </w:r>
            <w:proofErr w:type="spellEnd"/>
            <w:r w:rsidRPr="004E22F8">
              <w:rPr>
                <w:rFonts w:ascii="宋体" w:eastAsia="宋体" w:hAnsi="宋体" w:cs="宋体"/>
                <w:kern w:val="0"/>
                <w:sz w:val="24"/>
                <w:szCs w:val="24"/>
              </w:rPr>
              <w:t xml:space="preserve"> et al., 2024). </w:t>
            </w:r>
          </w:p>
          <w:p w14:paraId="45360CCA"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By</w:t>
            </w:r>
            <w:proofErr w:type="gramEnd"/>
            <w:r w:rsidRPr="004E22F8">
              <w:rPr>
                <w:rFonts w:ascii="宋体" w:eastAsia="宋体" w:hAnsi="宋体" w:cs="宋体"/>
                <w:kern w:val="0"/>
                <w:sz w:val="24"/>
                <w:szCs w:val="24"/>
              </w:rPr>
              <w:t xml:space="preserve"> promoting transformational leadership and top management support, it addresses resistance and builds digital skills, enabling a shift from rigid administrative </w:t>
            </w:r>
            <w:r w:rsidRPr="004E22F8">
              <w:rPr>
                <w:rFonts w:ascii="宋体" w:eastAsia="宋体" w:hAnsi="宋体" w:cs="宋体"/>
                <w:kern w:val="0"/>
                <w:sz w:val="24"/>
                <w:szCs w:val="24"/>
              </w:rPr>
              <w:lastRenderedPageBreak/>
              <w:t xml:space="preserve">processes to flexible, innovative e-government frameworks (Ademola, 2024). </w:t>
            </w:r>
          </w:p>
          <w:p w14:paraId="45956C50"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It</w:t>
            </w:r>
            <w:proofErr w:type="gramEnd"/>
            <w:r w:rsidRPr="004E22F8">
              <w:rPr>
                <w:rFonts w:ascii="宋体" w:eastAsia="宋体" w:hAnsi="宋体" w:cs="宋体"/>
                <w:kern w:val="0"/>
                <w:sz w:val="24"/>
                <w:szCs w:val="24"/>
              </w:rPr>
              <w:t xml:space="preserve"> redefines leadership roles in human capital management, fostering transformational styles in democratic settings to enhance service delivery, evolving bureaucratic climates into user-friendly, digitally adaptive environments (</w:t>
            </w:r>
            <w:proofErr w:type="spellStart"/>
            <w:r w:rsidRPr="004E22F8">
              <w:rPr>
                <w:rFonts w:ascii="宋体" w:eastAsia="宋体" w:hAnsi="宋体" w:cs="宋体"/>
                <w:kern w:val="0"/>
                <w:sz w:val="24"/>
                <w:szCs w:val="24"/>
              </w:rPr>
              <w:t>Ringson</w:t>
            </w:r>
            <w:proofErr w:type="spellEnd"/>
            <w:r w:rsidRPr="004E22F8">
              <w:rPr>
                <w:rFonts w:ascii="宋体" w:eastAsia="宋体" w:hAnsi="宋体" w:cs="宋体"/>
                <w:kern w:val="0"/>
                <w:sz w:val="24"/>
                <w:szCs w:val="24"/>
              </w:rPr>
              <w:t xml:space="preserve"> &amp; </w:t>
            </w:r>
            <w:proofErr w:type="spellStart"/>
            <w:r w:rsidRPr="004E22F8">
              <w:rPr>
                <w:rFonts w:ascii="宋体" w:eastAsia="宋体" w:hAnsi="宋体" w:cs="宋体"/>
                <w:kern w:val="0"/>
                <w:sz w:val="24"/>
                <w:szCs w:val="24"/>
              </w:rPr>
              <w:t>Matshabaphala</w:t>
            </w:r>
            <w:proofErr w:type="spellEnd"/>
            <w:r w:rsidRPr="004E22F8">
              <w:rPr>
                <w:rFonts w:ascii="宋体" w:eastAsia="宋体" w:hAnsi="宋体" w:cs="宋体"/>
                <w:kern w:val="0"/>
                <w:sz w:val="24"/>
                <w:szCs w:val="24"/>
              </w:rPr>
              <w:t xml:space="preserve">, 2023). </w:t>
            </w:r>
          </w:p>
          <w:p w14:paraId="1069051E" w14:textId="77777777" w:rsidR="004E22F8" w:rsidRPr="004E22F8" w:rsidRDefault="004E22F8" w:rsidP="004E22F8">
            <w:pPr>
              <w:widowControl/>
              <w:jc w:val="left"/>
              <w:rPr>
                <w:rFonts w:ascii="宋体" w:eastAsia="宋体" w:hAnsi="宋体" w:cs="宋体"/>
                <w:kern w:val="0"/>
                <w:sz w:val="24"/>
                <w:szCs w:val="24"/>
              </w:rPr>
            </w:pPr>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Transformational</w:t>
            </w:r>
            <w:proofErr w:type="gramEnd"/>
            <w:r w:rsidRPr="004E22F8">
              <w:rPr>
                <w:rFonts w:ascii="宋体" w:eastAsia="宋体" w:hAnsi="宋体" w:cs="宋体"/>
                <w:kern w:val="0"/>
                <w:sz w:val="24"/>
                <w:szCs w:val="24"/>
              </w:rPr>
              <w:t xml:space="preserve"> leadership supports innovative digital governance by inspiring change and efficiency, helping overcome bureaucratic failures to create flexible, human-centered administrative relations (Dema et al., 2023). </w:t>
            </w:r>
          </w:p>
          <w:p w14:paraId="182E6CF1" w14:textId="27F61163" w:rsidR="004E22F8" w:rsidRDefault="004E22F8" w:rsidP="004E22F8">
            <w:proofErr w:type="gramStart"/>
            <w:r w:rsidRPr="004E22F8">
              <w:rPr>
                <w:rFonts w:ascii="宋体" w:eastAsia="宋体" w:hAnsi="Symbol" w:cs="宋体"/>
                <w:kern w:val="0"/>
                <w:sz w:val="24"/>
                <w:szCs w:val="24"/>
              </w:rPr>
              <w:t></w:t>
            </w:r>
            <w:r w:rsidRPr="004E22F8">
              <w:rPr>
                <w:rFonts w:ascii="宋体" w:eastAsia="宋体" w:hAnsi="宋体" w:cs="宋体"/>
                <w:kern w:val="0"/>
                <w:sz w:val="24"/>
                <w:szCs w:val="24"/>
              </w:rPr>
              <w:t xml:space="preserve">  Organizational</w:t>
            </w:r>
            <w:proofErr w:type="gramEnd"/>
            <w:r w:rsidRPr="004E22F8">
              <w:rPr>
                <w:rFonts w:ascii="宋体" w:eastAsia="宋体" w:hAnsi="宋体" w:cs="宋体"/>
                <w:kern w:val="0"/>
                <w:sz w:val="24"/>
                <w:szCs w:val="24"/>
              </w:rPr>
              <w:t xml:space="preserve"> leaders optimize effectiveness through flexibility and growth mindsets, addressing resistance to drive comprehensive changes, transforming rigid bureaucracies into agile digital systems (</w:t>
            </w:r>
            <w:proofErr w:type="spellStart"/>
            <w:r w:rsidRPr="004E22F8">
              <w:rPr>
                <w:rFonts w:ascii="宋体" w:eastAsia="宋体" w:hAnsi="宋体" w:cs="宋体"/>
                <w:kern w:val="0"/>
                <w:sz w:val="24"/>
                <w:szCs w:val="24"/>
              </w:rPr>
              <w:t>Nazmah</w:t>
            </w:r>
            <w:proofErr w:type="spellEnd"/>
            <w:r w:rsidRPr="004E22F8">
              <w:rPr>
                <w:rFonts w:ascii="宋体" w:eastAsia="宋体" w:hAnsi="宋体" w:cs="宋体"/>
                <w:kern w:val="0"/>
                <w:sz w:val="24"/>
                <w:szCs w:val="24"/>
              </w:rPr>
              <w:t xml:space="preserve"> et al., 2025).</w:t>
            </w:r>
          </w:p>
        </w:tc>
      </w:tr>
    </w:tbl>
    <w:p w14:paraId="4573BB7B" w14:textId="30C2D750" w:rsidR="006038E8" w:rsidRDefault="006038E8"/>
    <w:p w14:paraId="3DCAE58A" w14:textId="2BD4B1EE" w:rsidR="004E22F8" w:rsidRDefault="004E22F8"/>
    <w:p w14:paraId="19BAC64A" w14:textId="2D55BBA8" w:rsidR="004E22F8" w:rsidRDefault="004E22F8"/>
    <w:p w14:paraId="4D0CED67" w14:textId="03FC6C4D" w:rsidR="004E22F8" w:rsidRDefault="004E22F8"/>
    <w:p w14:paraId="05D37E53" w14:textId="1DA1DA0C" w:rsidR="004E22F8" w:rsidRDefault="004E22F8"/>
    <w:tbl>
      <w:tblPr>
        <w:tblStyle w:val="4-4"/>
        <w:tblW w:w="0" w:type="auto"/>
        <w:tblLook w:val="04A0" w:firstRow="1" w:lastRow="0" w:firstColumn="1" w:lastColumn="0" w:noHBand="0" w:noVBand="1"/>
      </w:tblPr>
      <w:tblGrid>
        <w:gridCol w:w="704"/>
        <w:gridCol w:w="7592"/>
      </w:tblGrid>
      <w:tr w:rsidR="004E22F8" w14:paraId="05CBFBF1" w14:textId="77777777" w:rsidTr="004E22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B1322CD" w14:textId="7DCA6E6C" w:rsidR="004E22F8" w:rsidRDefault="004E22F8">
            <w:pPr>
              <w:rPr>
                <w:rFonts w:hint="eastAsia"/>
              </w:rPr>
            </w:pPr>
            <w:r>
              <w:rPr>
                <w:rFonts w:hint="eastAsia"/>
              </w:rPr>
              <w:t>1</w:t>
            </w:r>
          </w:p>
        </w:tc>
        <w:tc>
          <w:tcPr>
            <w:tcW w:w="7592" w:type="dxa"/>
          </w:tcPr>
          <w:p w14:paraId="1CFE45F2" w14:textId="77777777" w:rsidR="004E22F8" w:rsidRDefault="004E22F8" w:rsidP="004E22F8">
            <w:pPr>
              <w:cnfStyle w:val="100000000000" w:firstRow="1" w:lastRow="0" w:firstColumn="0" w:lastColumn="0" w:oddVBand="0" w:evenVBand="0" w:oddHBand="0" w:evenHBand="0" w:firstRowFirstColumn="0" w:firstRowLastColumn="0" w:lastRowFirstColumn="0" w:lastRowLastColumn="0"/>
            </w:pPr>
            <w:r>
              <w:t>Digital government transformation offers a profound shift from the rigid, hierarchical structures of Weberian bureaucracy, characterized by rule-bound processes and top-down authority, toward more agile, citizen-centric models of public service delivery. In reality, this evolution institutionalizes changes within public organizations by digitizing services, allowing for greater flexibility influenced by contextual factors and agent preferences, as seen in the digitization of over 1,740 services across Brazilian federal entities (</w:t>
            </w:r>
            <w:proofErr w:type="spellStart"/>
            <w:r>
              <w:t>Filgueiras</w:t>
            </w:r>
            <w:proofErr w:type="spellEnd"/>
            <w:r>
              <w:t xml:space="preserve"> et al., 2019). Similarly, it enhances efficiency and accountability through technologies like e-governance and data analytics, moderated by organizational culture and leadership, thereby reducing the dehumanizing effects of bureaucratic red tape (</w:t>
            </w:r>
            <w:proofErr w:type="spellStart"/>
            <w:r>
              <w:t>Sain</w:t>
            </w:r>
            <w:proofErr w:type="spellEnd"/>
            <w:r>
              <w:t xml:space="preserve"> et al., 2025). However, the transition is not without challenges; for instance, in contexts like Zimbabwe, digital tools streamline processes and improve responsiveness to citizen feedback, yet uneven implementation due to infrastructural disparities often limits full realization, perpetuating some Weberian rigidities (</w:t>
            </w:r>
            <w:proofErr w:type="spellStart"/>
            <w:r>
              <w:t>Gondo</w:t>
            </w:r>
            <w:proofErr w:type="spellEnd"/>
            <w:r>
              <w:t xml:space="preserve"> &amp; </w:t>
            </w:r>
            <w:proofErr w:type="spellStart"/>
            <w:r>
              <w:t>Suwaryono</w:t>
            </w:r>
            <w:proofErr w:type="spellEnd"/>
            <w:r>
              <w:t>, 2024).</w:t>
            </w:r>
          </w:p>
          <w:p w14:paraId="61CE0D7C" w14:textId="77777777" w:rsidR="004E22F8" w:rsidRDefault="004E22F8" w:rsidP="004E22F8">
            <w:pPr>
              <w:cnfStyle w:val="100000000000" w:firstRow="1" w:lastRow="0" w:firstColumn="0" w:lastColumn="0" w:oddVBand="0" w:evenVBand="0" w:oddHBand="0" w:evenHBand="0" w:firstRowFirstColumn="0" w:firstRowLastColumn="0" w:lastRowFirstColumn="0" w:lastRowLastColumn="0"/>
            </w:pPr>
            <w:r>
              <w:t>The potential of digital government lies in its ability to decentralize authority and foster inclusivity, transforming bureaucratic silos into collaborative, transparent systems. By leveraging AI, cloud computing, and mobile applications, it promotes transparency and citizen satisfaction, as evidenced by successful strategies in OECD countries that emphasize strong leadership and inter-departmental coordination over traditional hierarchies (</w:t>
            </w:r>
            <w:proofErr w:type="spellStart"/>
            <w:r>
              <w:t>Sadykova</w:t>
            </w:r>
            <w:proofErr w:type="spellEnd"/>
            <w:r>
              <w:t xml:space="preserve"> &amp; </w:t>
            </w:r>
            <w:proofErr w:type="spellStart"/>
            <w:r>
              <w:t>Galy</w:t>
            </w:r>
            <w:proofErr w:type="spellEnd"/>
            <w:r>
              <w:t xml:space="preserve">, 2024). In Indonesia, e-government initiatives have reduced processing times and corruption opportunities through integrated systems, illustrating </w:t>
            </w:r>
            <w:r>
              <w:lastRenderedPageBreak/>
              <w:t>the potential to evolve rule-oriented governance into participatory models, though cybersecurity vulnerabilities remain a hurdle (</w:t>
            </w:r>
            <w:proofErr w:type="spellStart"/>
            <w:r>
              <w:t>Syafaruddin</w:t>
            </w:r>
            <w:proofErr w:type="spellEnd"/>
            <w:r>
              <w:t xml:space="preserve"> &amp; </w:t>
            </w:r>
            <w:proofErr w:type="spellStart"/>
            <w:r>
              <w:t>Rizka</w:t>
            </w:r>
            <w:proofErr w:type="spellEnd"/>
            <w:r>
              <w:t>, 2025). Furthermore, emerging technologies like IoT and blockchain hold promise for boosting service efficiency and data security, aligning innovations with systemic reforms to overcome institutional entrenchment (</w:t>
            </w:r>
            <w:proofErr w:type="spellStart"/>
            <w:r>
              <w:t>Mambang</w:t>
            </w:r>
            <w:proofErr w:type="spellEnd"/>
            <w:r>
              <w:t xml:space="preserve">, 2024; </w:t>
            </w:r>
            <w:proofErr w:type="spellStart"/>
            <w:r>
              <w:t>Idrus</w:t>
            </w:r>
            <w:proofErr w:type="spellEnd"/>
            <w:r>
              <w:t xml:space="preserve"> et al., 2024).</w:t>
            </w:r>
          </w:p>
          <w:p w14:paraId="582B0782" w14:textId="38E82D35" w:rsidR="004E22F8" w:rsidRDefault="004E22F8" w:rsidP="004E22F8">
            <w:pPr>
              <w:cnfStyle w:val="100000000000" w:firstRow="1" w:lastRow="0" w:firstColumn="0" w:lastColumn="0" w:oddVBand="0" w:evenVBand="0" w:oddHBand="0" w:evenHBand="0" w:firstRowFirstColumn="0" w:firstRowLastColumn="0" w:lastRowFirstColumn="0" w:lastRowLastColumn="0"/>
              <w:rPr>
                <w:rFonts w:hint="eastAsia"/>
              </w:rPr>
            </w:pPr>
            <w:r>
              <w:t xml:space="preserve">In practice, digital platforms enable user-driven services that prioritize needs and iterative improvements, shifting from Weberian predictability to dynamic responsiveness, as demonstrated in user-centric designs that enhance accessibility and integrity (OECD, 2020). Yet, realities such as digital divides and resistance to change can undermine these efforts, as noted in Nigerian contexts where e-governance restructures procedures for better transparency but requires bridging gaps through training (Ganiyu et al., 2017). The broader potential includes fostering democratic environments via tools like mobile interfaces that boost citizen evaluations and satisfaction, ultimately redefining bureaucratic accountability through data-driven and inclusive approaches (Wang &amp; Ma, 2022; </w:t>
            </w:r>
            <w:proofErr w:type="spellStart"/>
            <w:r>
              <w:t>Ringson</w:t>
            </w:r>
            <w:proofErr w:type="spellEnd"/>
            <w:r>
              <w:t xml:space="preserve"> &amp; </w:t>
            </w:r>
            <w:proofErr w:type="spellStart"/>
            <w:r>
              <w:t>Matshabaphala</w:t>
            </w:r>
            <w:proofErr w:type="spellEnd"/>
            <w:r>
              <w:t>, 2023). Challenges persist in transition economies, where gaps in transactional services highlight the need for policy options to fully harness interoperability and engagement, moving beyond neoliberal regulatory shifts (</w:t>
            </w:r>
            <w:proofErr w:type="spellStart"/>
            <w:r>
              <w:t>Kuldosheva</w:t>
            </w:r>
            <w:proofErr w:type="spellEnd"/>
            <w:r>
              <w:t xml:space="preserve">, 2021; </w:t>
            </w:r>
            <w:proofErr w:type="spellStart"/>
            <w:r>
              <w:t>Sahin</w:t>
            </w:r>
            <w:proofErr w:type="spellEnd"/>
            <w:r>
              <w:t>, 2023).</w:t>
            </w:r>
          </w:p>
        </w:tc>
      </w:tr>
      <w:tr w:rsidR="004E22F8" w14:paraId="7F1D6F6F" w14:textId="77777777" w:rsidTr="004E2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7D8D0DBC" w14:textId="59FB2968" w:rsidR="004E22F8" w:rsidRDefault="004E22F8">
            <w:pPr>
              <w:rPr>
                <w:rFonts w:hint="eastAsia"/>
              </w:rPr>
            </w:pPr>
            <w:r>
              <w:rPr>
                <w:rFonts w:hint="eastAsia"/>
              </w:rPr>
              <w:lastRenderedPageBreak/>
              <w:t>2</w:t>
            </w:r>
          </w:p>
        </w:tc>
        <w:tc>
          <w:tcPr>
            <w:tcW w:w="7592" w:type="dxa"/>
          </w:tcPr>
          <w:p w14:paraId="21AC6845" w14:textId="77777777" w:rsidR="004E22F8" w:rsidRDefault="004E22F8" w:rsidP="004E22F8">
            <w:pPr>
              <w:pStyle w:val="a8"/>
              <w:cnfStyle w:val="000000100000" w:firstRow="0" w:lastRow="0" w:firstColumn="0" w:lastColumn="0" w:oddVBand="0" w:evenVBand="0" w:oddHBand="1" w:evenHBand="0" w:firstRowFirstColumn="0" w:firstRowLastColumn="0" w:lastRowFirstColumn="0" w:lastRowLastColumn="0"/>
            </w:pPr>
            <w:r>
              <w:t>Digital government transformation holds significant potential to reshape the rigid, hierarchical organization structures of Weberian bureaucracy, which emphasize top-down authority and rule-bound processes, into more flexible, networked, and collaborative frameworks. In reality, however, this shift often encounters resistance due to entrenched institutional arrangements that favor single-agency silos and stove-pipe systems, as evidenced by challenges in integrating information across organizational boundaries in contexts like the Mexican federal government (Luna-Reyes et al., 2007). Similarly, despite substantial investments in information technology, governments frequently remain predominantly hierarchical, requiring a fundamental value shift among managers to leverage tools for greater responsiveness and accountability in an information-intensive environment (</w:t>
            </w:r>
            <w:proofErr w:type="spellStart"/>
            <w:r>
              <w:t>Heimler</w:t>
            </w:r>
            <w:proofErr w:type="spellEnd"/>
            <w:r>
              <w:t>, 1996). The co-evolution of technology, organizational networks, and institutions offers promise for internal process reforms and enhanced inter-actor relationships, yet empirical evidence of full transformation from hierarchies to flattened structures is limited, underscoring the need for deeper understanding of these dynamics (Luna-Reyes &amp; Gil-García, 2014).</w:t>
            </w:r>
          </w:p>
          <w:p w14:paraId="6E28D683" w14:textId="77777777" w:rsidR="004E22F8" w:rsidRDefault="004E22F8" w:rsidP="004E22F8">
            <w:pPr>
              <w:pStyle w:val="a8"/>
              <w:cnfStyle w:val="000000100000" w:firstRow="0" w:lastRow="0" w:firstColumn="0" w:lastColumn="0" w:oddVBand="0" w:evenVBand="0" w:oddHBand="1" w:evenHBand="0" w:firstRowFirstColumn="0" w:firstRowLastColumn="0" w:lastRowFirstColumn="0" w:lastRowLastColumn="0"/>
            </w:pPr>
            <w:r>
              <w:lastRenderedPageBreak/>
              <w:t>The potential for digital technologies to drive organizational change lies in their ability to blur boundaries and promote horizontal collaboration, transitioning from bureaucratic constraints to innovative, citizen-centric models. For instance, Web 2.0 technologies enable transparency, communication, and civic engagement by bypassing traditional information filters, though bureaucratic hurdles and restricted flows often hinder full realization, creating a paradox in public sector adoption (</w:t>
            </w:r>
            <w:proofErr w:type="spellStart"/>
            <w:r>
              <w:t>Mergel</w:t>
            </w:r>
            <w:proofErr w:type="spellEnd"/>
            <w:r>
              <w:t xml:space="preserve"> et al., 2009). In practice, digital transformation unfolds in waves, adapting elements across bureaucratic levels to foster technology- or policy-enabled flexibility, as observed in hierarchical contexts where it impacts entire administrative systems with both radical and incremental changes (Gong et al., 2020). Open standards and architectures further amplify this potential by disintegrating "black boxed" hierarchical technologies and reaggregating them around user needs, allowing governments to become vendor-agnostic and converge on standardized, innovative services (</w:t>
            </w:r>
            <w:proofErr w:type="spellStart"/>
            <w:r>
              <w:t>Fishenden</w:t>
            </w:r>
            <w:proofErr w:type="spellEnd"/>
            <w:r>
              <w:t xml:space="preserve"> &amp; Thompson, 2013).</w:t>
            </w:r>
          </w:p>
          <w:p w14:paraId="2FBA4951" w14:textId="77777777" w:rsidR="004E22F8" w:rsidRDefault="004E22F8" w:rsidP="004E22F8">
            <w:pPr>
              <w:pStyle w:val="a8"/>
              <w:cnfStyle w:val="000000100000" w:firstRow="0" w:lastRow="0" w:firstColumn="0" w:lastColumn="0" w:oddVBand="0" w:evenVBand="0" w:oddHBand="1" w:evenHBand="0" w:firstRowFirstColumn="0" w:firstRowLastColumn="0" w:lastRowFirstColumn="0" w:lastRowLastColumn="0"/>
            </w:pPr>
            <w:r>
              <w:t>In real-world implementations, such as the German Online Access Act, digital initiatives increase flexible, horizontal approaches to address complexity, risk, and power imbalances, yet vertical coordination remains a complementary necessity, blending network-based governance with lingering Weberian elements (</w:t>
            </w:r>
            <w:proofErr w:type="spellStart"/>
            <w:r>
              <w:t>Rackwitz</w:t>
            </w:r>
            <w:proofErr w:type="spellEnd"/>
            <w:r>
              <w:t xml:space="preserve"> et al., 2021). The emergence of a "virtual state" through Internet technologies illustrates the potential to reshape coordination and control by blurring agency and sectoral lines, enhancing efficiency while acknowledging the unpredictability of deeper institutional restructuring (Fountain, 2001). Ultimately, this points to a paradigm shift from bureaucracy-driven hierarchies to collaborative digital governance, where interoperable structures promote cross-agency partnerships and accountable networks, though success depends on overcoming organizational inertia (</w:t>
            </w:r>
            <w:proofErr w:type="spellStart"/>
            <w:r>
              <w:t>Milakovich</w:t>
            </w:r>
            <w:proofErr w:type="spellEnd"/>
            <w:r>
              <w:t>, 2014).</w:t>
            </w:r>
          </w:p>
          <w:p w14:paraId="2754E68D" w14:textId="77777777" w:rsidR="004E22F8" w:rsidRPr="004E22F8" w:rsidRDefault="004E22F8">
            <w:pPr>
              <w:cnfStyle w:val="000000100000" w:firstRow="0" w:lastRow="0" w:firstColumn="0" w:lastColumn="0" w:oddVBand="0" w:evenVBand="0" w:oddHBand="1" w:evenHBand="0" w:firstRowFirstColumn="0" w:firstRowLastColumn="0" w:lastRowFirstColumn="0" w:lastRowLastColumn="0"/>
              <w:rPr>
                <w:rFonts w:hint="eastAsia"/>
              </w:rPr>
            </w:pPr>
          </w:p>
        </w:tc>
      </w:tr>
      <w:tr w:rsidR="004E22F8" w14:paraId="35124391" w14:textId="77777777" w:rsidTr="004E22F8">
        <w:tc>
          <w:tcPr>
            <w:cnfStyle w:val="001000000000" w:firstRow="0" w:lastRow="0" w:firstColumn="1" w:lastColumn="0" w:oddVBand="0" w:evenVBand="0" w:oddHBand="0" w:evenHBand="0" w:firstRowFirstColumn="0" w:firstRowLastColumn="0" w:lastRowFirstColumn="0" w:lastRowLastColumn="0"/>
            <w:tcW w:w="704" w:type="dxa"/>
          </w:tcPr>
          <w:p w14:paraId="2748E8B7" w14:textId="13706482" w:rsidR="004E22F8" w:rsidRDefault="004E22F8">
            <w:pPr>
              <w:rPr>
                <w:rFonts w:hint="eastAsia"/>
              </w:rPr>
            </w:pPr>
            <w:r>
              <w:rPr>
                <w:rFonts w:hint="eastAsia"/>
              </w:rPr>
              <w:lastRenderedPageBreak/>
              <w:t>3</w:t>
            </w:r>
          </w:p>
        </w:tc>
        <w:tc>
          <w:tcPr>
            <w:tcW w:w="7592" w:type="dxa"/>
          </w:tcPr>
          <w:p w14:paraId="670DEB21" w14:textId="77777777" w:rsidR="004E22F8" w:rsidRDefault="004E22F8" w:rsidP="004E22F8">
            <w:pPr>
              <w:pStyle w:val="a8"/>
              <w:cnfStyle w:val="000000000000" w:firstRow="0" w:lastRow="0" w:firstColumn="0" w:lastColumn="0" w:oddVBand="0" w:evenVBand="0" w:oddHBand="0" w:evenHBand="0" w:firstRowFirstColumn="0" w:firstRowLastColumn="0" w:lastRowFirstColumn="0" w:lastRowLastColumn="0"/>
            </w:pPr>
            <w:r>
              <w:t>Digital government transformation presents a compelling opportunity to evolve the operational logic and processes of Weberian bureaucracy, which traditionally rely on static, rule-based hierarchies and standardized procedures, toward more adaptive, data-driven mechanisms that prioritize real-</w:t>
            </w:r>
            <w:r>
              <w:lastRenderedPageBreak/>
              <w:t>time insights and evidence-based agility. In reality, however, this shift often faces significant hurdles, such as institutional resistance and inadequate infrastructure, as seen in contexts where big data analytics (BDA) aims to catalyze change but encounters challenges in data integration and skills gaps, limiting the move from rigid rule enforcement to dynamic citizen engagement (</w:t>
            </w:r>
            <w:proofErr w:type="spellStart"/>
            <w:r>
              <w:t>Vasilopoulou</w:t>
            </w:r>
            <w:proofErr w:type="spellEnd"/>
            <w:r>
              <w:t xml:space="preserve"> et al., 2023). For instance, while automation can streamline efficiency in public administration, the persistence of discretion in complex cases reveals a hybrid reality where data-driven processes must coexist with traditional rule-based systems, potentially leading to a "digital nomos" that balances innovation with administrative norms but risks incomplete adoption due to cultural and technical barriers (Henriksen, 2018). Similarly, in Russia's e-government efforts, the lack of data-centricity hinders seamless service provision, underscoring how regulatory obstacles perpetuate rule-dominated logic despite the push for model-oriented paradigms (</w:t>
            </w:r>
            <w:proofErr w:type="spellStart"/>
            <w:r>
              <w:t>Akatkin</w:t>
            </w:r>
            <w:proofErr w:type="spellEnd"/>
            <w:r>
              <w:t xml:space="preserve"> &amp; </w:t>
            </w:r>
            <w:proofErr w:type="spellStart"/>
            <w:r>
              <w:t>Yasinovskaya</w:t>
            </w:r>
            <w:proofErr w:type="spellEnd"/>
            <w:r>
              <w:t>, 2018).</w:t>
            </w:r>
          </w:p>
          <w:p w14:paraId="1C023A57" w14:textId="77777777" w:rsidR="004E22F8" w:rsidRDefault="004E22F8" w:rsidP="004E22F8">
            <w:pPr>
              <w:pStyle w:val="a8"/>
              <w:cnfStyle w:val="000000000000" w:firstRow="0" w:lastRow="0" w:firstColumn="0" w:lastColumn="0" w:oddVBand="0" w:evenVBand="0" w:oddHBand="0" w:evenHBand="0" w:firstRowFirstColumn="0" w:firstRowLastColumn="0" w:lastRowFirstColumn="0" w:lastRowLastColumn="0"/>
            </w:pPr>
            <w:r>
              <w:t xml:space="preserve">The potential of digital transformation lies in its capacity to embed data as a core asset, enabling evidence-led policy making and responsive service design that transcend bureaucratic rigidity. By leveraging technologies like AI, IoT, and blockchain through </w:t>
            </w:r>
            <w:proofErr w:type="spellStart"/>
            <w:r>
              <w:t>GovTech</w:t>
            </w:r>
            <w:proofErr w:type="spellEnd"/>
            <w:r>
              <w:t>, governments can automate compliance and real-time management, shifting from hierarchical rule adherence to proactive, predictive processes that enhance governance outcomes (</w:t>
            </w:r>
            <w:proofErr w:type="spellStart"/>
            <w:r>
              <w:t>Engin</w:t>
            </w:r>
            <w:proofErr w:type="spellEnd"/>
            <w:r>
              <w:t xml:space="preserve"> &amp; </w:t>
            </w:r>
            <w:proofErr w:type="spellStart"/>
            <w:r>
              <w:t>Treleaven</w:t>
            </w:r>
            <w:proofErr w:type="spellEnd"/>
            <w:r>
              <w:t>, 2019). In practice, initiatives such as Estonia's automated impact assessment systems demonstrate this potential by using micro-level data for continuous evaluation, fostering flexible public administrations that prioritize evidence-based adaptations over static rules, though success depends on high digitalization levels and econometric tools (</w:t>
            </w:r>
            <w:proofErr w:type="spellStart"/>
            <w:r>
              <w:t>Maksimova</w:t>
            </w:r>
            <w:proofErr w:type="spellEnd"/>
            <w:r>
              <w:t xml:space="preserve"> et al., 2022). Furthermore, big data analytics across policy phases—planning, design, delivery, and evaluation—holds promise for accurate, context-oriented systems, transforming manual governance into smart, digital frameworks that integrate technical progress with political change, as evidenced by models showing increased efficiency in service delivery (</w:t>
            </w:r>
            <w:proofErr w:type="spellStart"/>
            <w:r>
              <w:t>Hossin</w:t>
            </w:r>
            <w:proofErr w:type="spellEnd"/>
            <w:r>
              <w:t xml:space="preserve"> et al., 2023; Joseph &amp; Johnson, 2013).</w:t>
            </w:r>
          </w:p>
          <w:p w14:paraId="1C84DDEB" w14:textId="77777777" w:rsidR="004E22F8" w:rsidRDefault="004E22F8" w:rsidP="004E22F8">
            <w:pPr>
              <w:pStyle w:val="a8"/>
              <w:cnfStyle w:val="000000000000" w:firstRow="0" w:lastRow="0" w:firstColumn="0" w:lastColumn="0" w:oddVBand="0" w:evenVBand="0" w:oddHBand="0" w:evenHBand="0" w:firstRowFirstColumn="0" w:firstRowLastColumn="0" w:lastRowFirstColumn="0" w:lastRowLastColumn="0"/>
            </w:pPr>
            <w:r>
              <w:lastRenderedPageBreak/>
              <w:t xml:space="preserve">Yet, the reality often tempers this potential, as seen in U.S. state agencies </w:t>
            </w:r>
            <w:proofErr w:type="gramStart"/>
            <w:r>
              <w:t>where</w:t>
            </w:r>
            <w:proofErr w:type="gramEnd"/>
            <w:r>
              <w:t xml:space="preserve"> implementing Evidence-Based Policy Making requires not just quality data and analytics but robust organizational support, with determinants like interoperability and privacy constraining the full shift to data-driven decision-making (Choi et al., 2021). Opportunities for transparency, innovation, and public participation abound through data usability, but challenges such as privacy issues and cultural obstacles must be overcome to realize a truly data-driven public sector, as systematic reviews highlight the foundational role of addressing these for operational transformation (Christodoulou et al., 2018). AI-powered systems further amplify potential by enabling real-time insights and accountability via analytics and visualization, reshaping rule-centric logic into adaptive processes, though conceptual studies emphasize the need for investments in infrastructure to bridge gaps in adoption (Muhammad et al., 2024). Ultimately, harnessing big data with machine learning can propel citizen-centric models, but the transition demands strategic alignment to fully modernize bureaucratic processes into proactive, data-enabled operations (</w:t>
            </w:r>
            <w:proofErr w:type="spellStart"/>
            <w:r>
              <w:t>Agbozo</w:t>
            </w:r>
            <w:proofErr w:type="spellEnd"/>
            <w:r>
              <w:t xml:space="preserve"> &amp; </w:t>
            </w:r>
            <w:proofErr w:type="spellStart"/>
            <w:r>
              <w:t>Spassov</w:t>
            </w:r>
            <w:proofErr w:type="spellEnd"/>
            <w:r>
              <w:t>, 2018).</w:t>
            </w:r>
          </w:p>
          <w:p w14:paraId="331483D5" w14:textId="77777777" w:rsidR="004E22F8" w:rsidRPr="004E22F8" w:rsidRDefault="004E22F8">
            <w:pPr>
              <w:cnfStyle w:val="000000000000" w:firstRow="0" w:lastRow="0" w:firstColumn="0" w:lastColumn="0" w:oddVBand="0" w:evenVBand="0" w:oddHBand="0" w:evenHBand="0" w:firstRowFirstColumn="0" w:firstRowLastColumn="0" w:lastRowFirstColumn="0" w:lastRowLastColumn="0"/>
              <w:rPr>
                <w:rFonts w:hint="eastAsia"/>
              </w:rPr>
            </w:pPr>
          </w:p>
        </w:tc>
      </w:tr>
      <w:tr w:rsidR="004E22F8" w14:paraId="1CA9B5FC" w14:textId="77777777" w:rsidTr="004E22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8B6EC91" w14:textId="59CC8E04" w:rsidR="004E22F8" w:rsidRDefault="004E22F8">
            <w:pPr>
              <w:rPr>
                <w:rFonts w:hint="eastAsia"/>
              </w:rPr>
            </w:pPr>
            <w:r>
              <w:rPr>
                <w:rFonts w:hint="eastAsia"/>
              </w:rPr>
              <w:lastRenderedPageBreak/>
              <w:t>4</w:t>
            </w:r>
          </w:p>
        </w:tc>
        <w:tc>
          <w:tcPr>
            <w:tcW w:w="7592" w:type="dxa"/>
          </w:tcPr>
          <w:p w14:paraId="3720E9A4" w14:textId="77777777" w:rsidR="004E22F8" w:rsidRDefault="004E22F8" w:rsidP="004E22F8">
            <w:pPr>
              <w:pStyle w:val="a8"/>
              <w:cnfStyle w:val="000000100000" w:firstRow="0" w:lastRow="0" w:firstColumn="0" w:lastColumn="0" w:oddVBand="0" w:evenVBand="0" w:oddHBand="1" w:evenHBand="0" w:firstRowFirstColumn="0" w:firstRowLastColumn="0" w:lastRowFirstColumn="0" w:lastRowLastColumn="0"/>
            </w:pPr>
            <w:r>
              <w:t xml:space="preserve">Digital government transformation offers substantial potential to redefine departmental responsibilities and administrative power in Weberian bureaucracy, which traditionally features siloed structures with centralized authority and rigid hierarchies, by fostering integrated, collaborative models that redistribute power across agencies. In reality, however, entrenched institutional arrangements often perpetuate single-agency incentives and stove-pipe systems, hindering cross-boundary information sharing and collaborative trust, as observed in Mexican federal initiatives where digital efforts face barriers from operational diversity and limited adaptability (Luna-Reyes et al., 2007; Dawes &amp; Pardo, 2002). For instance, despite trends toward greater inter-organizational integration, challenges like data incompatibility and power struggles maintain departmental silos, limiting the redistribution of administrative power to more networked forms and resulting in </w:t>
            </w:r>
            <w:r>
              <w:lastRenderedPageBreak/>
              <w:t>fragmented reforms rather than holistic shifts (Gil-García, 2012).</w:t>
            </w:r>
          </w:p>
          <w:p w14:paraId="04B000F7" w14:textId="77777777" w:rsidR="004E22F8" w:rsidRDefault="004E22F8" w:rsidP="004E22F8">
            <w:pPr>
              <w:pStyle w:val="a8"/>
              <w:cnfStyle w:val="000000100000" w:firstRow="0" w:lastRow="0" w:firstColumn="0" w:lastColumn="0" w:oddVBand="0" w:evenVBand="0" w:oddHBand="1" w:evenHBand="0" w:firstRowFirstColumn="0" w:firstRowLastColumn="0" w:lastRowFirstColumn="0" w:lastRowLastColumn="0"/>
            </w:pPr>
            <w:r>
              <w:t xml:space="preserve">The potential lies in leveraging digital platforms and IT to break these silos, reallocating responsibilities through unified workflows and shared governance that empower cross-agency authority without necessitating formal institutional overhauls. In Chinese contexts, platform-enabled governance integrates distributed departmental functions into sequential processes, facilitating horizontal and vertical collaborations that enhance information flow and decentralize power from hierarchical silos to adaptive, pragmatic networks (Zeng et al., 2022). Similarly, strategies like Indonesia's West Java Digital Service (JDS) demonstrate how dedicated digital units can accelerate responsibility integration outside traditional bureaucracies, shifting administrative power toward data-driven, citizen-centric models that promote joint decision-making and inclusive policy delivery (Maulana et al., 2022; Maulana &amp; </w:t>
            </w:r>
            <w:proofErr w:type="spellStart"/>
            <w:r>
              <w:t>Firmansyah</w:t>
            </w:r>
            <w:proofErr w:type="spellEnd"/>
            <w:r>
              <w:t>, 2023; Maulana et al., 2024).</w:t>
            </w:r>
          </w:p>
          <w:p w14:paraId="6F21B9AD" w14:textId="77777777" w:rsidR="004E22F8" w:rsidRDefault="004E22F8" w:rsidP="004E22F8">
            <w:pPr>
              <w:pStyle w:val="a8"/>
              <w:cnfStyle w:val="000000100000" w:firstRow="0" w:lastRow="0" w:firstColumn="0" w:lastColumn="0" w:oddVBand="0" w:evenVBand="0" w:oddHBand="1" w:evenHBand="0" w:firstRowFirstColumn="0" w:firstRowLastColumn="0" w:lastRowFirstColumn="0" w:lastRowLastColumn="0"/>
            </w:pPr>
            <w:r>
              <w:t>Yet, the reality often reveals a mixed outcome, where digital initiatives increase flexible, horizontal approaches but still rely on complementary vertical coordination to address power imbalances and complexity, as seen in the German Online Access Act where multi-level leadership and trust-building are essential for redistributing authority across agencies (</w:t>
            </w:r>
            <w:proofErr w:type="spellStart"/>
            <w:r>
              <w:t>Rackwitz</w:t>
            </w:r>
            <w:proofErr w:type="spellEnd"/>
            <w:r>
              <w:t xml:space="preserve"> et al., 2021). In broader shifts to digital-era governance (DEG), the reintegration of fragmented functions into holistic structures holds promise for reallocating departmental responsibilities, but cumulative effects of prior disaggregation under new public management can complicate this, requiring explicit principles like partnership and agile adaptability to fully realize collaborative power distribution (Dunleavy et al., 2005; Mian et al., 2025). Ultimately, technologies such as cloud computing, big data, and AI can optimize inter-departmental mechanisms, but success depends on overcoming cultural and regulatory obstacles to truly empower networked governance over siloed </w:t>
            </w:r>
          </w:p>
          <w:p w14:paraId="3C9E36D1" w14:textId="77777777" w:rsidR="004E22F8" w:rsidRPr="004E22F8" w:rsidRDefault="004E22F8">
            <w:pPr>
              <w:cnfStyle w:val="000000100000" w:firstRow="0" w:lastRow="0" w:firstColumn="0" w:lastColumn="0" w:oddVBand="0" w:evenVBand="0" w:oddHBand="1" w:evenHBand="0" w:firstRowFirstColumn="0" w:firstRowLastColumn="0" w:lastRowFirstColumn="0" w:lastRowLastColumn="0"/>
              <w:rPr>
                <w:rFonts w:hint="eastAsia"/>
              </w:rPr>
            </w:pPr>
          </w:p>
        </w:tc>
      </w:tr>
      <w:tr w:rsidR="004E22F8" w14:paraId="20F896E6" w14:textId="77777777" w:rsidTr="004E22F8">
        <w:tc>
          <w:tcPr>
            <w:cnfStyle w:val="001000000000" w:firstRow="0" w:lastRow="0" w:firstColumn="1" w:lastColumn="0" w:oddVBand="0" w:evenVBand="0" w:oddHBand="0" w:evenHBand="0" w:firstRowFirstColumn="0" w:firstRowLastColumn="0" w:lastRowFirstColumn="0" w:lastRowLastColumn="0"/>
            <w:tcW w:w="704" w:type="dxa"/>
          </w:tcPr>
          <w:p w14:paraId="35B75805" w14:textId="17711189" w:rsidR="004E22F8" w:rsidRDefault="004E22F8">
            <w:pPr>
              <w:rPr>
                <w:rFonts w:hint="eastAsia"/>
              </w:rPr>
            </w:pPr>
            <w:r>
              <w:rPr>
                <w:rFonts w:hint="eastAsia"/>
              </w:rPr>
              <w:lastRenderedPageBreak/>
              <w:t>5</w:t>
            </w:r>
          </w:p>
        </w:tc>
        <w:tc>
          <w:tcPr>
            <w:tcW w:w="7592" w:type="dxa"/>
          </w:tcPr>
          <w:p w14:paraId="63DD9506" w14:textId="77777777" w:rsidR="004E22F8" w:rsidRDefault="004E22F8" w:rsidP="004E22F8">
            <w:pPr>
              <w:pStyle w:val="a8"/>
              <w:cnfStyle w:val="000000000000" w:firstRow="0" w:lastRow="0" w:firstColumn="0" w:lastColumn="0" w:oddVBand="0" w:evenVBand="0" w:oddHBand="0" w:evenHBand="0" w:firstRowFirstColumn="0" w:firstRowLastColumn="0" w:lastRowFirstColumn="0" w:lastRowLastColumn="0"/>
            </w:pPr>
            <w:r>
              <w:t xml:space="preserve">Digital government transformation holds immense potential to redefine leadership in Weberian bureaucracy, which </w:t>
            </w:r>
            <w:r>
              <w:lastRenderedPageBreak/>
              <w:t xml:space="preserve">traditionally emphasizes hierarchical authority, rule adherence, and centralized control, by fostering adaptive and visionary leaders who prioritize innovation, collaboration, and agility. In reality, however, this shift often encounters resistance from entrenched bureaucratic cultures, where leaders struggle with legacy systems and uneven infrastructure, as evidenced by global case studies highlighting the need for inclusive strategies to overcome rigidity and promote cross-sector partnerships (Wahid et al., 2024). For instance, while transformational leadership can enhance dynamic capabilities amid technological novelty, its limited impact on adaptive behaviors reveals a persistent gap, with leaders facing challenges in fully transitioning from rigid hierarchies to flexible, responsive models due to environmental dynamics and skill deficiencies (Huang et al., 2023). Similarly, in public sector settings, digital leaders must navigate complex environments to cultivate innovative mindsets, yet organizational inertia and policy adoption barriers frequently hinder the evolution from autocratic structures to democratic, user-friendly governance (B &amp; </w:t>
            </w:r>
            <w:proofErr w:type="spellStart"/>
            <w:r>
              <w:t>Djabbari</w:t>
            </w:r>
            <w:proofErr w:type="spellEnd"/>
            <w:r>
              <w:t xml:space="preserve">, 2024; </w:t>
            </w:r>
            <w:proofErr w:type="spellStart"/>
            <w:r>
              <w:t>Ringson</w:t>
            </w:r>
            <w:proofErr w:type="spellEnd"/>
            <w:r>
              <w:t xml:space="preserve"> &amp; </w:t>
            </w:r>
            <w:proofErr w:type="spellStart"/>
            <w:r>
              <w:t>Matshabaphala</w:t>
            </w:r>
            <w:proofErr w:type="spellEnd"/>
            <w:r>
              <w:t>, 2023).</w:t>
            </w:r>
          </w:p>
          <w:p w14:paraId="46AAE1EB" w14:textId="77777777" w:rsidR="004E22F8" w:rsidRDefault="004E22F8" w:rsidP="004E22F8">
            <w:pPr>
              <w:pStyle w:val="a8"/>
              <w:cnfStyle w:val="000000000000" w:firstRow="0" w:lastRow="0" w:firstColumn="0" w:lastColumn="0" w:oddVBand="0" w:evenVBand="0" w:oddHBand="0" w:evenHBand="0" w:firstRowFirstColumn="0" w:firstRowLastColumn="0" w:lastRowFirstColumn="0" w:lastRowLastColumn="0"/>
            </w:pPr>
            <w:r>
              <w:t xml:space="preserve">The potential for transformation lies in equipping leaders with competencies like data analytics, strategic thinking, and ethical practices to harness emerging technologies, enabling a move toward inclusive, digitally empowered administration that breaks down silos and enhances public participation. Through neutral and facilitative approaches, leaders can promote agile structures and harmonize inter-agency efforts, as seen in frameworks that stress adaptability to rapid changes, potentially reshaping bureaucratic rigidity into collaborative, citizen-centric governance (Mian et al., 2025; </w:t>
            </w:r>
            <w:proofErr w:type="spellStart"/>
            <w:r>
              <w:t>Breaugh</w:t>
            </w:r>
            <w:proofErr w:type="spellEnd"/>
            <w:r>
              <w:t xml:space="preserve"> et al., 2023). In Indonesian contexts, for example, transformational leadership supports innovative digital governance by inspiring efficiency and human-centered relations, illustrating how such capabilities can overcome implementation failures to drive flexible, accountable systems (Dema et al., 2023). Furthermore, by integrating technological knowledge with business vision and customer orientation, leaders can accelerate e-government adoption, fostering a paradigm where top management support and digital skills development propel the shift from rule-bound hierarchies to adaptive, </w:t>
            </w:r>
            <w:r>
              <w:lastRenderedPageBreak/>
              <w:t>performance-oriented frameworks (</w:t>
            </w:r>
            <w:proofErr w:type="spellStart"/>
            <w:r>
              <w:t>Cuya</w:t>
            </w:r>
            <w:proofErr w:type="spellEnd"/>
            <w:r>
              <w:t xml:space="preserve"> &amp; </w:t>
            </w:r>
            <w:proofErr w:type="spellStart"/>
            <w:r>
              <w:t>Oré</w:t>
            </w:r>
            <w:proofErr w:type="spellEnd"/>
            <w:r>
              <w:t>, 2021; Ademola, 2024).</w:t>
            </w:r>
          </w:p>
          <w:p w14:paraId="24A9CCF0" w14:textId="77777777" w:rsidR="004E22F8" w:rsidRDefault="004E22F8" w:rsidP="004E22F8">
            <w:pPr>
              <w:pStyle w:val="a8"/>
              <w:cnfStyle w:val="000000000000" w:firstRow="0" w:lastRow="0" w:firstColumn="0" w:lastColumn="0" w:oddVBand="0" w:evenVBand="0" w:oddHBand="0" w:evenHBand="0" w:firstRowFirstColumn="0" w:firstRowLastColumn="0" w:lastRowFirstColumn="0" w:lastRowLastColumn="0"/>
            </w:pPr>
            <w:r>
              <w:t>In practice, the reality tempers this potential, as leaders must address resistance to change within robust bureaucratic structures, requiring growth mindsets and innovative strategies to optimize organizational effectiveness in the digital era (</w:t>
            </w:r>
            <w:proofErr w:type="spellStart"/>
            <w:r>
              <w:t>Nazmah</w:t>
            </w:r>
            <w:proofErr w:type="spellEnd"/>
            <w:r>
              <w:t xml:space="preserve"> et al., 2025). Systematic reviews underscore that digital leadership enhances transparency and accountability, yet disparities between central and local agencies often constrain full realization, with collaborative styles embedded in institutional designs proving essential for tailoring rules to flexible implementation (</w:t>
            </w:r>
            <w:proofErr w:type="spellStart"/>
            <w:r>
              <w:t>Nuryadin</w:t>
            </w:r>
            <w:proofErr w:type="spellEnd"/>
            <w:r>
              <w:t xml:space="preserve"> et al., 2023; </w:t>
            </w:r>
            <w:proofErr w:type="spellStart"/>
            <w:r>
              <w:t>Kusnandar</w:t>
            </w:r>
            <w:proofErr w:type="spellEnd"/>
            <w:r>
              <w:t xml:space="preserve"> et al., 2024). Ultimately, by redefining </w:t>
            </w:r>
            <w:proofErr w:type="spellStart"/>
            <w:r>
              <w:t>roles</w:t>
            </w:r>
            <w:proofErr w:type="spellEnd"/>
            <w:r>
              <w:t xml:space="preserve"> around human capital and ethical innovation, digital government can empower leaders to lead cultural shifts, but success hinges on overcoming systemic constraints to fully transition from rigid administration to dynamic, equitable governance.</w:t>
            </w:r>
          </w:p>
          <w:p w14:paraId="55B878A1" w14:textId="77777777" w:rsidR="004E22F8" w:rsidRPr="004E22F8" w:rsidRDefault="004E22F8">
            <w:pPr>
              <w:cnfStyle w:val="000000000000" w:firstRow="0" w:lastRow="0" w:firstColumn="0" w:lastColumn="0" w:oddVBand="0" w:evenVBand="0" w:oddHBand="0" w:evenHBand="0" w:firstRowFirstColumn="0" w:firstRowLastColumn="0" w:lastRowFirstColumn="0" w:lastRowLastColumn="0"/>
              <w:rPr>
                <w:rFonts w:hint="eastAsia"/>
              </w:rPr>
            </w:pPr>
          </w:p>
        </w:tc>
      </w:tr>
    </w:tbl>
    <w:p w14:paraId="6536B20F" w14:textId="2D253958" w:rsidR="004E22F8" w:rsidRDefault="004E22F8"/>
    <w:p w14:paraId="0815B1B3" w14:textId="434ED381" w:rsidR="003B722D" w:rsidRDefault="003B722D">
      <w:pPr>
        <w:widowControl/>
        <w:jc w:val="left"/>
      </w:pPr>
      <w:r>
        <w:br w:type="page"/>
      </w:r>
    </w:p>
    <w:p w14:paraId="4214CD89" w14:textId="408CDFC6" w:rsidR="003B722D" w:rsidRDefault="003B722D"/>
    <w:p w14:paraId="77717762" w14:textId="56FDDD3E" w:rsidR="006B5412" w:rsidRDefault="006B5412"/>
    <w:p w14:paraId="641D6A10" w14:textId="77777777" w:rsidR="006B5412" w:rsidRDefault="006B5412">
      <w:pPr>
        <w:rPr>
          <w:rFonts w:hint="eastAsia"/>
        </w:rPr>
      </w:pPr>
    </w:p>
    <w:tbl>
      <w:tblPr>
        <w:tblStyle w:val="a7"/>
        <w:tblW w:w="0" w:type="auto"/>
        <w:tblLook w:val="04A0" w:firstRow="1" w:lastRow="0" w:firstColumn="1" w:lastColumn="0" w:noHBand="0" w:noVBand="1"/>
      </w:tblPr>
      <w:tblGrid>
        <w:gridCol w:w="579"/>
        <w:gridCol w:w="2577"/>
        <w:gridCol w:w="2825"/>
        <w:gridCol w:w="2315"/>
      </w:tblGrid>
      <w:tr w:rsidR="006B5412" w:rsidRPr="006B5412" w14:paraId="141278A9" w14:textId="77777777" w:rsidTr="006B5412">
        <w:tc>
          <w:tcPr>
            <w:tcW w:w="0" w:type="auto"/>
            <w:hideMark/>
          </w:tcPr>
          <w:p w14:paraId="4AB76A77" w14:textId="77777777" w:rsidR="006B5412" w:rsidRPr="006B5412" w:rsidRDefault="006B5412" w:rsidP="006B5412">
            <w:pPr>
              <w:widowControl/>
              <w:jc w:val="center"/>
              <w:rPr>
                <w:rFonts w:ascii="宋体" w:eastAsia="宋体" w:hAnsi="宋体" w:cs="宋体"/>
                <w:b/>
                <w:bCs/>
                <w:kern w:val="0"/>
                <w:sz w:val="24"/>
                <w:szCs w:val="24"/>
              </w:rPr>
            </w:pPr>
            <w:r w:rsidRPr="006B5412">
              <w:rPr>
                <w:rFonts w:ascii="宋体" w:eastAsia="宋体" w:hAnsi="宋体" w:cs="宋体"/>
                <w:b/>
                <w:bCs/>
                <w:kern w:val="0"/>
                <w:sz w:val="24"/>
                <w:szCs w:val="24"/>
              </w:rPr>
              <w:t>No.</w:t>
            </w:r>
          </w:p>
        </w:tc>
        <w:tc>
          <w:tcPr>
            <w:tcW w:w="0" w:type="auto"/>
            <w:hideMark/>
          </w:tcPr>
          <w:p w14:paraId="797C45BF" w14:textId="77777777" w:rsidR="006B5412" w:rsidRPr="006B5412" w:rsidRDefault="006B5412" w:rsidP="006B5412">
            <w:pPr>
              <w:widowControl/>
              <w:jc w:val="center"/>
              <w:rPr>
                <w:rFonts w:ascii="宋体" w:eastAsia="宋体" w:hAnsi="宋体" w:cs="宋体"/>
                <w:b/>
                <w:bCs/>
                <w:kern w:val="0"/>
                <w:sz w:val="24"/>
                <w:szCs w:val="24"/>
              </w:rPr>
            </w:pPr>
            <w:r w:rsidRPr="006B5412">
              <w:rPr>
                <w:rFonts w:ascii="宋体" w:eastAsia="宋体" w:hAnsi="宋体" w:cs="宋体"/>
                <w:b/>
                <w:bCs/>
                <w:kern w:val="0"/>
                <w:sz w:val="24"/>
                <w:szCs w:val="24"/>
              </w:rPr>
              <w:t>Transformation Theme (Organizational Structure)</w:t>
            </w:r>
          </w:p>
        </w:tc>
        <w:tc>
          <w:tcPr>
            <w:tcW w:w="0" w:type="auto"/>
            <w:hideMark/>
          </w:tcPr>
          <w:p w14:paraId="2F8CAD85" w14:textId="77777777" w:rsidR="006B5412" w:rsidRPr="006B5412" w:rsidRDefault="006B5412" w:rsidP="006B5412">
            <w:pPr>
              <w:widowControl/>
              <w:jc w:val="center"/>
              <w:rPr>
                <w:rFonts w:ascii="宋体" w:eastAsia="宋体" w:hAnsi="宋体" w:cs="宋体"/>
                <w:b/>
                <w:bCs/>
                <w:kern w:val="0"/>
                <w:sz w:val="24"/>
                <w:szCs w:val="24"/>
              </w:rPr>
            </w:pPr>
            <w:r w:rsidRPr="006B5412">
              <w:rPr>
                <w:rFonts w:ascii="宋体" w:eastAsia="宋体" w:hAnsi="宋体" w:cs="宋体"/>
                <w:b/>
                <w:bCs/>
                <w:kern w:val="0"/>
                <w:sz w:val="24"/>
                <w:szCs w:val="24"/>
              </w:rPr>
              <w:t>Core Shift</w:t>
            </w:r>
          </w:p>
        </w:tc>
        <w:tc>
          <w:tcPr>
            <w:tcW w:w="0" w:type="auto"/>
            <w:hideMark/>
          </w:tcPr>
          <w:p w14:paraId="42E987FB" w14:textId="77777777" w:rsidR="006B5412" w:rsidRPr="006B5412" w:rsidRDefault="006B5412" w:rsidP="006B5412">
            <w:pPr>
              <w:widowControl/>
              <w:jc w:val="center"/>
              <w:rPr>
                <w:rFonts w:ascii="宋体" w:eastAsia="宋体" w:hAnsi="宋体" w:cs="宋体"/>
                <w:b/>
                <w:bCs/>
                <w:kern w:val="0"/>
                <w:sz w:val="24"/>
                <w:szCs w:val="24"/>
              </w:rPr>
            </w:pPr>
            <w:r w:rsidRPr="006B5412">
              <w:rPr>
                <w:rFonts w:ascii="宋体" w:eastAsia="宋体" w:hAnsi="宋体" w:cs="宋体"/>
                <w:b/>
                <w:bCs/>
                <w:kern w:val="0"/>
                <w:sz w:val="24"/>
                <w:szCs w:val="24"/>
              </w:rPr>
              <w:t>Key References</w:t>
            </w:r>
          </w:p>
        </w:tc>
      </w:tr>
      <w:tr w:rsidR="006B5412" w:rsidRPr="006B5412" w14:paraId="16201142" w14:textId="77777777" w:rsidTr="006B5412">
        <w:tc>
          <w:tcPr>
            <w:tcW w:w="0" w:type="auto"/>
            <w:hideMark/>
          </w:tcPr>
          <w:p w14:paraId="23ABA205" w14:textId="77777777" w:rsidR="006B5412" w:rsidRPr="006B5412" w:rsidRDefault="006B5412" w:rsidP="006B5412">
            <w:pPr>
              <w:widowControl/>
              <w:jc w:val="left"/>
              <w:rPr>
                <w:rFonts w:ascii="宋体" w:eastAsia="宋体" w:hAnsi="宋体" w:cs="宋体"/>
                <w:kern w:val="0"/>
                <w:sz w:val="24"/>
                <w:szCs w:val="24"/>
              </w:rPr>
            </w:pPr>
            <w:r w:rsidRPr="006B5412">
              <w:rPr>
                <w:rFonts w:ascii="宋体" w:eastAsia="宋体" w:hAnsi="宋体" w:cs="宋体"/>
                <w:kern w:val="0"/>
                <w:sz w:val="24"/>
                <w:szCs w:val="24"/>
              </w:rPr>
              <w:t>1</w:t>
            </w:r>
          </w:p>
        </w:tc>
        <w:tc>
          <w:tcPr>
            <w:tcW w:w="0" w:type="auto"/>
            <w:hideMark/>
          </w:tcPr>
          <w:p w14:paraId="0A735D41" w14:textId="77777777" w:rsidR="006B5412" w:rsidRPr="006B5412" w:rsidRDefault="006B5412" w:rsidP="006B5412">
            <w:pPr>
              <w:widowControl/>
              <w:jc w:val="left"/>
              <w:rPr>
                <w:rFonts w:ascii="宋体" w:eastAsia="宋体" w:hAnsi="宋体" w:cs="宋体"/>
                <w:kern w:val="0"/>
                <w:sz w:val="24"/>
                <w:szCs w:val="24"/>
              </w:rPr>
            </w:pPr>
            <w:r w:rsidRPr="006B5412">
              <w:rPr>
                <w:rFonts w:ascii="宋体" w:eastAsia="宋体" w:hAnsi="宋体" w:cs="宋体"/>
                <w:kern w:val="0"/>
                <w:sz w:val="24"/>
                <w:szCs w:val="24"/>
              </w:rPr>
              <w:t>From Rigid Hierarchy to Networked &amp; Flattened Structures</w:t>
            </w:r>
          </w:p>
        </w:tc>
        <w:tc>
          <w:tcPr>
            <w:tcW w:w="0" w:type="auto"/>
            <w:hideMark/>
          </w:tcPr>
          <w:p w14:paraId="06CD4C60" w14:textId="77777777" w:rsidR="006B5412" w:rsidRPr="006B5412" w:rsidRDefault="006B5412" w:rsidP="006B5412">
            <w:pPr>
              <w:widowControl/>
              <w:jc w:val="left"/>
              <w:rPr>
                <w:rFonts w:ascii="宋体" w:eastAsia="宋体" w:hAnsi="宋体" w:cs="宋体"/>
                <w:kern w:val="0"/>
                <w:sz w:val="24"/>
                <w:szCs w:val="24"/>
              </w:rPr>
            </w:pPr>
            <w:r w:rsidRPr="006B5412">
              <w:rPr>
                <w:rFonts w:ascii="宋体" w:eastAsia="宋体" w:hAnsi="宋体" w:cs="宋体"/>
                <w:kern w:val="0"/>
                <w:sz w:val="24"/>
                <w:szCs w:val="24"/>
              </w:rPr>
              <w:t>From vertical, command-and-control hierarchies to flattened, flexible, ICT-enabled networks with horizontal coordination</w:t>
            </w:r>
          </w:p>
        </w:tc>
        <w:tc>
          <w:tcPr>
            <w:tcW w:w="0" w:type="auto"/>
            <w:hideMark/>
          </w:tcPr>
          <w:p w14:paraId="0CF7B67A" w14:textId="77777777" w:rsidR="006B5412" w:rsidRPr="006B5412" w:rsidRDefault="006B5412" w:rsidP="006B5412">
            <w:pPr>
              <w:widowControl/>
              <w:jc w:val="left"/>
              <w:rPr>
                <w:rFonts w:ascii="宋体" w:eastAsia="宋体" w:hAnsi="宋体" w:cs="宋体"/>
                <w:kern w:val="0"/>
                <w:sz w:val="24"/>
                <w:szCs w:val="24"/>
              </w:rPr>
            </w:pPr>
            <w:proofErr w:type="spellStart"/>
            <w:r w:rsidRPr="006B5412">
              <w:rPr>
                <w:rFonts w:ascii="宋体" w:eastAsia="宋体" w:hAnsi="宋体" w:cs="宋体"/>
                <w:kern w:val="0"/>
                <w:sz w:val="24"/>
                <w:szCs w:val="24"/>
              </w:rPr>
              <w:t>Heimler</w:t>
            </w:r>
            <w:proofErr w:type="spellEnd"/>
            <w:r w:rsidRPr="006B5412">
              <w:rPr>
                <w:rFonts w:ascii="宋体" w:eastAsia="宋体" w:hAnsi="宋体" w:cs="宋体"/>
                <w:kern w:val="0"/>
                <w:sz w:val="24"/>
                <w:szCs w:val="24"/>
              </w:rPr>
              <w:t xml:space="preserve"> 1996; </w:t>
            </w:r>
            <w:proofErr w:type="spellStart"/>
            <w:r w:rsidRPr="006B5412">
              <w:rPr>
                <w:rFonts w:ascii="宋体" w:eastAsia="宋体" w:hAnsi="宋体" w:cs="宋体"/>
                <w:kern w:val="0"/>
                <w:sz w:val="24"/>
                <w:szCs w:val="24"/>
              </w:rPr>
              <w:t>Mergel</w:t>
            </w:r>
            <w:proofErr w:type="spellEnd"/>
            <w:r w:rsidRPr="006B5412">
              <w:rPr>
                <w:rFonts w:ascii="宋体" w:eastAsia="宋体" w:hAnsi="宋体" w:cs="宋体"/>
                <w:kern w:val="0"/>
                <w:sz w:val="24"/>
                <w:szCs w:val="24"/>
              </w:rPr>
              <w:t xml:space="preserve"> et al. 2009; Gong et al. 2020; </w:t>
            </w:r>
            <w:proofErr w:type="spellStart"/>
            <w:r w:rsidRPr="006B5412">
              <w:rPr>
                <w:rFonts w:ascii="宋体" w:eastAsia="宋体" w:hAnsi="宋体" w:cs="宋体"/>
                <w:kern w:val="0"/>
                <w:sz w:val="24"/>
                <w:szCs w:val="24"/>
              </w:rPr>
              <w:t>Rackwitz</w:t>
            </w:r>
            <w:proofErr w:type="spellEnd"/>
            <w:r w:rsidRPr="006B5412">
              <w:rPr>
                <w:rFonts w:ascii="宋体" w:eastAsia="宋体" w:hAnsi="宋体" w:cs="宋体"/>
                <w:kern w:val="0"/>
                <w:sz w:val="24"/>
                <w:szCs w:val="24"/>
              </w:rPr>
              <w:t xml:space="preserve"> et al. 2021; Fountain 2001</w:t>
            </w:r>
          </w:p>
        </w:tc>
      </w:tr>
      <w:tr w:rsidR="006B5412" w:rsidRPr="006B5412" w14:paraId="0323DB89" w14:textId="77777777" w:rsidTr="006B5412">
        <w:tc>
          <w:tcPr>
            <w:tcW w:w="0" w:type="auto"/>
            <w:hideMark/>
          </w:tcPr>
          <w:p w14:paraId="6742C786" w14:textId="77777777" w:rsidR="006B5412" w:rsidRPr="006B5412" w:rsidRDefault="006B5412" w:rsidP="006B5412">
            <w:pPr>
              <w:widowControl/>
              <w:jc w:val="left"/>
              <w:rPr>
                <w:rFonts w:ascii="宋体" w:eastAsia="宋体" w:hAnsi="宋体" w:cs="宋体"/>
                <w:kern w:val="0"/>
                <w:sz w:val="24"/>
                <w:szCs w:val="24"/>
              </w:rPr>
            </w:pPr>
            <w:r w:rsidRPr="006B5412">
              <w:rPr>
                <w:rFonts w:ascii="宋体" w:eastAsia="宋体" w:hAnsi="宋体" w:cs="宋体"/>
                <w:kern w:val="0"/>
                <w:sz w:val="24"/>
                <w:szCs w:val="24"/>
              </w:rPr>
              <w:t>2</w:t>
            </w:r>
          </w:p>
        </w:tc>
        <w:tc>
          <w:tcPr>
            <w:tcW w:w="0" w:type="auto"/>
            <w:hideMark/>
          </w:tcPr>
          <w:p w14:paraId="07ED4284" w14:textId="77777777" w:rsidR="006B5412" w:rsidRPr="006B5412" w:rsidRDefault="006B5412" w:rsidP="006B5412">
            <w:pPr>
              <w:widowControl/>
              <w:jc w:val="left"/>
              <w:rPr>
                <w:rFonts w:ascii="宋体" w:eastAsia="宋体" w:hAnsi="宋体" w:cs="宋体"/>
                <w:kern w:val="0"/>
                <w:sz w:val="24"/>
                <w:szCs w:val="24"/>
              </w:rPr>
            </w:pPr>
            <w:r w:rsidRPr="006B5412">
              <w:rPr>
                <w:rFonts w:ascii="宋体" w:eastAsia="宋体" w:hAnsi="宋体" w:cs="宋体"/>
                <w:kern w:val="0"/>
                <w:sz w:val="24"/>
                <w:szCs w:val="24"/>
              </w:rPr>
              <w:t>From Siloed Agency-Centric to Boundary-Spanning Platform Integration</w:t>
            </w:r>
          </w:p>
        </w:tc>
        <w:tc>
          <w:tcPr>
            <w:tcW w:w="0" w:type="auto"/>
            <w:hideMark/>
          </w:tcPr>
          <w:p w14:paraId="341D6578" w14:textId="77777777" w:rsidR="006B5412" w:rsidRPr="006B5412" w:rsidRDefault="006B5412" w:rsidP="006B5412">
            <w:pPr>
              <w:widowControl/>
              <w:jc w:val="left"/>
              <w:rPr>
                <w:rFonts w:ascii="宋体" w:eastAsia="宋体" w:hAnsi="宋体" w:cs="宋体"/>
                <w:kern w:val="0"/>
                <w:sz w:val="24"/>
                <w:szCs w:val="24"/>
              </w:rPr>
            </w:pPr>
            <w:r w:rsidRPr="006B5412">
              <w:rPr>
                <w:rFonts w:ascii="宋体" w:eastAsia="宋体" w:hAnsi="宋体" w:cs="宋体"/>
                <w:kern w:val="0"/>
                <w:sz w:val="24"/>
                <w:szCs w:val="24"/>
              </w:rPr>
              <w:t>From closed departmental silos and black-boxed systems to open, platform-based, citizen-centric integration across boundaries</w:t>
            </w:r>
          </w:p>
        </w:tc>
        <w:tc>
          <w:tcPr>
            <w:tcW w:w="0" w:type="auto"/>
            <w:hideMark/>
          </w:tcPr>
          <w:p w14:paraId="66CA8A2D" w14:textId="77777777" w:rsidR="006B5412" w:rsidRPr="006B5412" w:rsidRDefault="006B5412" w:rsidP="006B5412">
            <w:pPr>
              <w:widowControl/>
              <w:jc w:val="left"/>
              <w:rPr>
                <w:rFonts w:ascii="宋体" w:eastAsia="宋体" w:hAnsi="宋体" w:cs="宋体"/>
                <w:kern w:val="0"/>
                <w:sz w:val="24"/>
                <w:szCs w:val="24"/>
              </w:rPr>
            </w:pPr>
            <w:r w:rsidRPr="006B5412">
              <w:rPr>
                <w:rFonts w:ascii="宋体" w:eastAsia="宋体" w:hAnsi="宋体" w:cs="宋体"/>
                <w:kern w:val="0"/>
                <w:sz w:val="24"/>
                <w:szCs w:val="24"/>
              </w:rPr>
              <w:t xml:space="preserve">Luna-Reyes &amp; Gil-García 2014; Luna-Reyes et al. 2007; </w:t>
            </w:r>
            <w:proofErr w:type="spellStart"/>
            <w:r w:rsidRPr="006B5412">
              <w:rPr>
                <w:rFonts w:ascii="宋体" w:eastAsia="宋体" w:hAnsi="宋体" w:cs="宋体"/>
                <w:kern w:val="0"/>
                <w:sz w:val="24"/>
                <w:szCs w:val="24"/>
              </w:rPr>
              <w:t>Fishenden</w:t>
            </w:r>
            <w:proofErr w:type="spellEnd"/>
            <w:r w:rsidRPr="006B5412">
              <w:rPr>
                <w:rFonts w:ascii="宋体" w:eastAsia="宋体" w:hAnsi="宋体" w:cs="宋体"/>
                <w:kern w:val="0"/>
                <w:sz w:val="24"/>
                <w:szCs w:val="24"/>
              </w:rPr>
              <w:t xml:space="preserve"> &amp; Thompson 2013; </w:t>
            </w:r>
            <w:proofErr w:type="spellStart"/>
            <w:r w:rsidRPr="006B5412">
              <w:rPr>
                <w:rFonts w:ascii="宋体" w:eastAsia="宋体" w:hAnsi="宋体" w:cs="宋体"/>
                <w:kern w:val="0"/>
                <w:sz w:val="24"/>
                <w:szCs w:val="24"/>
              </w:rPr>
              <w:t>Milakovich</w:t>
            </w:r>
            <w:proofErr w:type="spellEnd"/>
            <w:r w:rsidRPr="006B5412">
              <w:rPr>
                <w:rFonts w:ascii="宋体" w:eastAsia="宋体" w:hAnsi="宋体" w:cs="宋体"/>
                <w:kern w:val="0"/>
                <w:sz w:val="24"/>
                <w:szCs w:val="24"/>
              </w:rPr>
              <w:t xml:space="preserve"> 2014</w:t>
            </w:r>
          </w:p>
        </w:tc>
      </w:tr>
    </w:tbl>
    <w:p w14:paraId="064470E7" w14:textId="0AAC0B23" w:rsidR="003B722D" w:rsidRPr="006B5412" w:rsidRDefault="003B722D"/>
    <w:p w14:paraId="0534008E" w14:textId="3705FBF6" w:rsidR="003B722D" w:rsidRDefault="003B722D"/>
    <w:tbl>
      <w:tblPr>
        <w:tblStyle w:val="a7"/>
        <w:tblW w:w="0" w:type="auto"/>
        <w:tblLook w:val="04A0" w:firstRow="1" w:lastRow="0" w:firstColumn="1" w:lastColumn="0" w:noHBand="0" w:noVBand="1"/>
      </w:tblPr>
      <w:tblGrid>
        <w:gridCol w:w="579"/>
        <w:gridCol w:w="2241"/>
        <w:gridCol w:w="2957"/>
        <w:gridCol w:w="2519"/>
      </w:tblGrid>
      <w:tr w:rsidR="003B722D" w:rsidRPr="003B722D" w14:paraId="5C68C4B5" w14:textId="77777777" w:rsidTr="003B722D">
        <w:tc>
          <w:tcPr>
            <w:tcW w:w="0" w:type="auto"/>
            <w:hideMark/>
          </w:tcPr>
          <w:p w14:paraId="1DC88463"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No.</w:t>
            </w:r>
          </w:p>
        </w:tc>
        <w:tc>
          <w:tcPr>
            <w:tcW w:w="0" w:type="auto"/>
            <w:hideMark/>
          </w:tcPr>
          <w:p w14:paraId="308B8E60"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Transformation Theme (Operating Logic &amp; Processes)</w:t>
            </w:r>
          </w:p>
        </w:tc>
        <w:tc>
          <w:tcPr>
            <w:tcW w:w="0" w:type="auto"/>
            <w:hideMark/>
          </w:tcPr>
          <w:p w14:paraId="74E1CC7E"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Core Shift (Scientific &amp; Concise)</w:t>
            </w:r>
          </w:p>
        </w:tc>
        <w:tc>
          <w:tcPr>
            <w:tcW w:w="0" w:type="auto"/>
            <w:hideMark/>
          </w:tcPr>
          <w:p w14:paraId="156EF2E4"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Key References</w:t>
            </w:r>
          </w:p>
        </w:tc>
      </w:tr>
      <w:tr w:rsidR="003B722D" w:rsidRPr="003B722D" w14:paraId="3D4E21B5" w14:textId="77777777" w:rsidTr="003B722D">
        <w:tc>
          <w:tcPr>
            <w:tcW w:w="0" w:type="auto"/>
            <w:hideMark/>
          </w:tcPr>
          <w:p w14:paraId="3A4F3037"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1</w:t>
            </w:r>
          </w:p>
        </w:tc>
        <w:tc>
          <w:tcPr>
            <w:tcW w:w="0" w:type="auto"/>
            <w:hideMark/>
          </w:tcPr>
          <w:p w14:paraId="0AF98D5E"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From Rule-Based Compliance to Data-Driven Adaptivity</w:t>
            </w:r>
          </w:p>
        </w:tc>
        <w:tc>
          <w:tcPr>
            <w:tcW w:w="0" w:type="auto"/>
            <w:hideMark/>
          </w:tcPr>
          <w:p w14:paraId="22B10B65"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From static, precedent-driven, risk-averse rule application to real-time, evidence-based, predictive, and iterative decision-making supported by data, analytics, AI, and automated feedback loops</w:t>
            </w:r>
          </w:p>
        </w:tc>
        <w:tc>
          <w:tcPr>
            <w:tcW w:w="0" w:type="auto"/>
            <w:hideMark/>
          </w:tcPr>
          <w:p w14:paraId="7D0ED6AA" w14:textId="77777777" w:rsidR="003B722D" w:rsidRPr="003B722D" w:rsidRDefault="003B722D" w:rsidP="003B722D">
            <w:pPr>
              <w:widowControl/>
              <w:jc w:val="left"/>
              <w:rPr>
                <w:rFonts w:ascii="宋体" w:eastAsia="宋体" w:hAnsi="宋体" w:cs="宋体"/>
                <w:kern w:val="0"/>
                <w:sz w:val="24"/>
                <w:szCs w:val="24"/>
              </w:rPr>
            </w:pPr>
            <w:proofErr w:type="spellStart"/>
            <w:r w:rsidRPr="003B722D">
              <w:rPr>
                <w:rFonts w:ascii="宋体" w:eastAsia="宋体" w:hAnsi="宋体" w:cs="宋体"/>
                <w:kern w:val="0"/>
                <w:sz w:val="24"/>
                <w:szCs w:val="24"/>
              </w:rPr>
              <w:t>Ooijen</w:t>
            </w:r>
            <w:proofErr w:type="spellEnd"/>
            <w:r w:rsidRPr="003B722D">
              <w:rPr>
                <w:rFonts w:ascii="宋体" w:eastAsia="宋体" w:hAnsi="宋体" w:cs="宋体"/>
                <w:kern w:val="0"/>
                <w:sz w:val="24"/>
                <w:szCs w:val="24"/>
              </w:rPr>
              <w:t xml:space="preserve"> et al. 2019; </w:t>
            </w:r>
            <w:proofErr w:type="spellStart"/>
            <w:r w:rsidRPr="003B722D">
              <w:rPr>
                <w:rFonts w:ascii="宋体" w:eastAsia="宋体" w:hAnsi="宋体" w:cs="宋体"/>
                <w:kern w:val="0"/>
                <w:sz w:val="24"/>
                <w:szCs w:val="24"/>
              </w:rPr>
              <w:t>Vasilopoulou</w:t>
            </w:r>
            <w:proofErr w:type="spellEnd"/>
            <w:r w:rsidRPr="003B722D">
              <w:rPr>
                <w:rFonts w:ascii="宋体" w:eastAsia="宋体" w:hAnsi="宋体" w:cs="宋体"/>
                <w:kern w:val="0"/>
                <w:sz w:val="24"/>
                <w:szCs w:val="24"/>
              </w:rPr>
              <w:t xml:space="preserve"> et al. 2023; </w:t>
            </w:r>
            <w:proofErr w:type="spellStart"/>
            <w:r w:rsidRPr="003B722D">
              <w:rPr>
                <w:rFonts w:ascii="宋体" w:eastAsia="宋体" w:hAnsi="宋体" w:cs="宋体"/>
                <w:kern w:val="0"/>
                <w:sz w:val="24"/>
                <w:szCs w:val="24"/>
              </w:rPr>
              <w:t>Maksimova</w:t>
            </w:r>
            <w:proofErr w:type="spellEnd"/>
            <w:r w:rsidRPr="003B722D">
              <w:rPr>
                <w:rFonts w:ascii="宋体" w:eastAsia="宋体" w:hAnsi="宋体" w:cs="宋体"/>
                <w:kern w:val="0"/>
                <w:sz w:val="24"/>
                <w:szCs w:val="24"/>
              </w:rPr>
              <w:t xml:space="preserve"> et al. 2022; </w:t>
            </w:r>
            <w:proofErr w:type="spellStart"/>
            <w:r w:rsidRPr="003B722D">
              <w:rPr>
                <w:rFonts w:ascii="宋体" w:eastAsia="宋体" w:hAnsi="宋体" w:cs="宋体"/>
                <w:kern w:val="0"/>
                <w:sz w:val="24"/>
                <w:szCs w:val="24"/>
              </w:rPr>
              <w:t>Hossin</w:t>
            </w:r>
            <w:proofErr w:type="spellEnd"/>
            <w:r w:rsidRPr="003B722D">
              <w:rPr>
                <w:rFonts w:ascii="宋体" w:eastAsia="宋体" w:hAnsi="宋体" w:cs="宋体"/>
                <w:kern w:val="0"/>
                <w:sz w:val="24"/>
                <w:szCs w:val="24"/>
              </w:rPr>
              <w:t xml:space="preserve"> et al. 2023; </w:t>
            </w:r>
            <w:proofErr w:type="spellStart"/>
            <w:r w:rsidRPr="003B722D">
              <w:rPr>
                <w:rFonts w:ascii="宋体" w:eastAsia="宋体" w:hAnsi="宋体" w:cs="宋体"/>
                <w:kern w:val="0"/>
                <w:sz w:val="24"/>
                <w:szCs w:val="24"/>
              </w:rPr>
              <w:t>Engin</w:t>
            </w:r>
            <w:proofErr w:type="spellEnd"/>
            <w:r w:rsidRPr="003B722D">
              <w:rPr>
                <w:rFonts w:ascii="宋体" w:eastAsia="宋体" w:hAnsi="宋体" w:cs="宋体"/>
                <w:kern w:val="0"/>
                <w:sz w:val="24"/>
                <w:szCs w:val="24"/>
              </w:rPr>
              <w:t xml:space="preserve"> &amp; </w:t>
            </w:r>
            <w:proofErr w:type="spellStart"/>
            <w:r w:rsidRPr="003B722D">
              <w:rPr>
                <w:rFonts w:ascii="宋体" w:eastAsia="宋体" w:hAnsi="宋体" w:cs="宋体"/>
                <w:kern w:val="0"/>
                <w:sz w:val="24"/>
                <w:szCs w:val="24"/>
              </w:rPr>
              <w:t>Treleaven</w:t>
            </w:r>
            <w:proofErr w:type="spellEnd"/>
            <w:r w:rsidRPr="003B722D">
              <w:rPr>
                <w:rFonts w:ascii="宋体" w:eastAsia="宋体" w:hAnsi="宋体" w:cs="宋体"/>
                <w:kern w:val="0"/>
                <w:sz w:val="24"/>
                <w:szCs w:val="24"/>
              </w:rPr>
              <w:t xml:space="preserve"> 2019; Joseph &amp; Johnson 2013; Choi et al. 2021</w:t>
            </w:r>
          </w:p>
        </w:tc>
      </w:tr>
      <w:tr w:rsidR="003B722D" w:rsidRPr="003B722D" w14:paraId="7A3D4F0D" w14:textId="77777777" w:rsidTr="003B722D">
        <w:tc>
          <w:tcPr>
            <w:tcW w:w="0" w:type="auto"/>
            <w:hideMark/>
          </w:tcPr>
          <w:p w14:paraId="796FF098"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2</w:t>
            </w:r>
          </w:p>
        </w:tc>
        <w:tc>
          <w:tcPr>
            <w:tcW w:w="0" w:type="auto"/>
            <w:hideMark/>
          </w:tcPr>
          <w:p w14:paraId="566E013C"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 xml:space="preserve">From Rigid Proceduralism to Hybrid “Digital Nomos” with </w:t>
            </w:r>
            <w:r w:rsidRPr="003B722D">
              <w:rPr>
                <w:rFonts w:ascii="宋体" w:eastAsia="宋体" w:hAnsi="宋体" w:cs="宋体"/>
                <w:kern w:val="0"/>
                <w:sz w:val="24"/>
                <w:szCs w:val="24"/>
              </w:rPr>
              <w:lastRenderedPageBreak/>
              <w:t>Managed Discretion</w:t>
            </w:r>
          </w:p>
        </w:tc>
        <w:tc>
          <w:tcPr>
            <w:tcW w:w="0" w:type="auto"/>
            <w:hideMark/>
          </w:tcPr>
          <w:p w14:paraId="55324B1D"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lastRenderedPageBreak/>
              <w:t xml:space="preserve">From purely hierarchical, uniformly rule-bound processes to hybrid systems that combine </w:t>
            </w:r>
            <w:r w:rsidRPr="003B722D">
              <w:rPr>
                <w:rFonts w:ascii="宋体" w:eastAsia="宋体" w:hAnsi="宋体" w:cs="宋体"/>
                <w:kern w:val="0"/>
                <w:sz w:val="24"/>
                <w:szCs w:val="24"/>
              </w:rPr>
              <w:lastRenderedPageBreak/>
              <w:t>high automation of routine tasks with preserved (or augmented) human discretion and continuous data-informed adjustment for complex or novel cases</w:t>
            </w:r>
          </w:p>
        </w:tc>
        <w:tc>
          <w:tcPr>
            <w:tcW w:w="0" w:type="auto"/>
            <w:hideMark/>
          </w:tcPr>
          <w:p w14:paraId="05787C18"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lastRenderedPageBreak/>
              <w:t xml:space="preserve">Henriksen 2018; </w:t>
            </w:r>
            <w:proofErr w:type="spellStart"/>
            <w:r w:rsidRPr="003B722D">
              <w:rPr>
                <w:rFonts w:ascii="宋体" w:eastAsia="宋体" w:hAnsi="宋体" w:cs="宋体"/>
                <w:kern w:val="0"/>
                <w:sz w:val="24"/>
                <w:szCs w:val="24"/>
              </w:rPr>
              <w:t>Maksimova</w:t>
            </w:r>
            <w:proofErr w:type="spellEnd"/>
            <w:r w:rsidRPr="003B722D">
              <w:rPr>
                <w:rFonts w:ascii="宋体" w:eastAsia="宋体" w:hAnsi="宋体" w:cs="宋体"/>
                <w:kern w:val="0"/>
                <w:sz w:val="24"/>
                <w:szCs w:val="24"/>
              </w:rPr>
              <w:t xml:space="preserve"> et al. 2022; </w:t>
            </w:r>
            <w:proofErr w:type="spellStart"/>
            <w:r w:rsidRPr="003B722D">
              <w:rPr>
                <w:rFonts w:ascii="宋体" w:eastAsia="宋体" w:hAnsi="宋体" w:cs="宋体"/>
                <w:kern w:val="0"/>
                <w:sz w:val="24"/>
                <w:szCs w:val="24"/>
              </w:rPr>
              <w:t>Akatkin</w:t>
            </w:r>
            <w:proofErr w:type="spellEnd"/>
            <w:r w:rsidRPr="003B722D">
              <w:rPr>
                <w:rFonts w:ascii="宋体" w:eastAsia="宋体" w:hAnsi="宋体" w:cs="宋体"/>
                <w:kern w:val="0"/>
                <w:sz w:val="24"/>
                <w:szCs w:val="24"/>
              </w:rPr>
              <w:t xml:space="preserve"> &amp; </w:t>
            </w:r>
            <w:proofErr w:type="spellStart"/>
            <w:r w:rsidRPr="003B722D">
              <w:rPr>
                <w:rFonts w:ascii="宋体" w:eastAsia="宋体" w:hAnsi="宋体" w:cs="宋体"/>
                <w:kern w:val="0"/>
                <w:sz w:val="24"/>
                <w:szCs w:val="24"/>
              </w:rPr>
              <w:t>Yasinovskaya</w:t>
            </w:r>
            <w:proofErr w:type="spellEnd"/>
            <w:r w:rsidRPr="003B722D">
              <w:rPr>
                <w:rFonts w:ascii="宋体" w:eastAsia="宋体" w:hAnsi="宋体" w:cs="宋体"/>
                <w:kern w:val="0"/>
                <w:sz w:val="24"/>
                <w:szCs w:val="24"/>
              </w:rPr>
              <w:t xml:space="preserve"> 2018; Christodoulou et </w:t>
            </w:r>
            <w:r w:rsidRPr="003B722D">
              <w:rPr>
                <w:rFonts w:ascii="宋体" w:eastAsia="宋体" w:hAnsi="宋体" w:cs="宋体"/>
                <w:kern w:val="0"/>
                <w:sz w:val="24"/>
                <w:szCs w:val="24"/>
              </w:rPr>
              <w:lastRenderedPageBreak/>
              <w:t xml:space="preserve">al. 2018; </w:t>
            </w:r>
            <w:proofErr w:type="spellStart"/>
            <w:r w:rsidRPr="003B722D">
              <w:rPr>
                <w:rFonts w:ascii="宋体" w:eastAsia="宋体" w:hAnsi="宋体" w:cs="宋体"/>
                <w:kern w:val="0"/>
                <w:sz w:val="24"/>
                <w:szCs w:val="24"/>
              </w:rPr>
              <w:t>Agbozo</w:t>
            </w:r>
            <w:proofErr w:type="spellEnd"/>
            <w:r w:rsidRPr="003B722D">
              <w:rPr>
                <w:rFonts w:ascii="宋体" w:eastAsia="宋体" w:hAnsi="宋体" w:cs="宋体"/>
                <w:kern w:val="0"/>
                <w:sz w:val="24"/>
                <w:szCs w:val="24"/>
              </w:rPr>
              <w:t xml:space="preserve"> &amp; </w:t>
            </w:r>
            <w:proofErr w:type="spellStart"/>
            <w:r w:rsidRPr="003B722D">
              <w:rPr>
                <w:rFonts w:ascii="宋体" w:eastAsia="宋体" w:hAnsi="宋体" w:cs="宋体"/>
                <w:kern w:val="0"/>
                <w:sz w:val="24"/>
                <w:szCs w:val="24"/>
              </w:rPr>
              <w:t>Spassov</w:t>
            </w:r>
            <w:proofErr w:type="spellEnd"/>
            <w:r w:rsidRPr="003B722D">
              <w:rPr>
                <w:rFonts w:ascii="宋体" w:eastAsia="宋体" w:hAnsi="宋体" w:cs="宋体"/>
                <w:kern w:val="0"/>
                <w:sz w:val="24"/>
                <w:szCs w:val="24"/>
              </w:rPr>
              <w:t xml:space="preserve"> 2018; Muhammad et al. 2024</w:t>
            </w:r>
          </w:p>
        </w:tc>
      </w:tr>
    </w:tbl>
    <w:p w14:paraId="7B9FE4EE" w14:textId="401E7320" w:rsidR="003B722D" w:rsidRPr="003B722D" w:rsidRDefault="003B722D"/>
    <w:p w14:paraId="6B33656B" w14:textId="2DC6AF0F" w:rsidR="003B722D" w:rsidRDefault="003B722D"/>
    <w:p w14:paraId="3A36AF96" w14:textId="5EFADEDD" w:rsidR="003B722D" w:rsidRDefault="003B722D"/>
    <w:tbl>
      <w:tblPr>
        <w:tblStyle w:val="a7"/>
        <w:tblW w:w="0" w:type="auto"/>
        <w:tblLook w:val="04A0" w:firstRow="1" w:lastRow="0" w:firstColumn="1" w:lastColumn="0" w:noHBand="0" w:noVBand="1"/>
      </w:tblPr>
      <w:tblGrid>
        <w:gridCol w:w="579"/>
        <w:gridCol w:w="2314"/>
        <w:gridCol w:w="3413"/>
        <w:gridCol w:w="1990"/>
      </w:tblGrid>
      <w:tr w:rsidR="003B722D" w:rsidRPr="003B722D" w14:paraId="26F4CB20" w14:textId="77777777" w:rsidTr="003B722D">
        <w:tc>
          <w:tcPr>
            <w:tcW w:w="0" w:type="auto"/>
            <w:hideMark/>
          </w:tcPr>
          <w:p w14:paraId="4CD28769"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No.</w:t>
            </w:r>
          </w:p>
        </w:tc>
        <w:tc>
          <w:tcPr>
            <w:tcW w:w="0" w:type="auto"/>
            <w:hideMark/>
          </w:tcPr>
          <w:p w14:paraId="43A1B6A3"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Transformation Theme</w:t>
            </w:r>
          </w:p>
        </w:tc>
        <w:tc>
          <w:tcPr>
            <w:tcW w:w="0" w:type="auto"/>
            <w:hideMark/>
          </w:tcPr>
          <w:p w14:paraId="2DE86FD8"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Core Shift in Departmental Responsibilities &amp; Administrative Power</w:t>
            </w:r>
          </w:p>
        </w:tc>
        <w:tc>
          <w:tcPr>
            <w:tcW w:w="0" w:type="auto"/>
            <w:hideMark/>
          </w:tcPr>
          <w:p w14:paraId="49178922"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Key References</w:t>
            </w:r>
          </w:p>
        </w:tc>
      </w:tr>
      <w:tr w:rsidR="003B722D" w:rsidRPr="003B722D" w14:paraId="53010E8E" w14:textId="77777777" w:rsidTr="003B722D">
        <w:tc>
          <w:tcPr>
            <w:tcW w:w="0" w:type="auto"/>
            <w:hideMark/>
          </w:tcPr>
          <w:p w14:paraId="18214213"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1</w:t>
            </w:r>
          </w:p>
        </w:tc>
        <w:tc>
          <w:tcPr>
            <w:tcW w:w="0" w:type="auto"/>
            <w:hideMark/>
          </w:tcPr>
          <w:p w14:paraId="4EF09643"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From Departmental Silos to Boundary-Spanning Power Sharing</w:t>
            </w:r>
          </w:p>
        </w:tc>
        <w:tc>
          <w:tcPr>
            <w:tcW w:w="0" w:type="auto"/>
            <w:hideMark/>
          </w:tcPr>
          <w:p w14:paraId="7EC16D7D"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From exclusive, vertically-held authority within closed departmental boundaries to shared authority enabled by cross-agency data integration, joint platforms, and neutral coordination mechanisms</w:t>
            </w:r>
          </w:p>
        </w:tc>
        <w:tc>
          <w:tcPr>
            <w:tcW w:w="0" w:type="auto"/>
            <w:hideMark/>
          </w:tcPr>
          <w:p w14:paraId="5D925CDA"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 xml:space="preserve">Gil-García 2012; Luna-Reyes et al. 2007; Mian et al. 2025; </w:t>
            </w:r>
            <w:proofErr w:type="spellStart"/>
            <w:r w:rsidRPr="003B722D">
              <w:rPr>
                <w:rFonts w:ascii="宋体" w:eastAsia="宋体" w:hAnsi="宋体" w:cs="宋体"/>
                <w:kern w:val="0"/>
                <w:sz w:val="24"/>
                <w:szCs w:val="24"/>
              </w:rPr>
              <w:t>Gascó</w:t>
            </w:r>
            <w:proofErr w:type="spellEnd"/>
            <w:r w:rsidRPr="003B722D">
              <w:rPr>
                <w:rFonts w:ascii="宋体" w:eastAsia="宋体" w:hAnsi="宋体" w:cs="宋体"/>
                <w:kern w:val="0"/>
                <w:sz w:val="24"/>
                <w:szCs w:val="24"/>
              </w:rPr>
              <w:t>-Hernández et al. 2022; Gao 2024; Dawes &amp; Pardo 2002</w:t>
            </w:r>
          </w:p>
        </w:tc>
      </w:tr>
      <w:tr w:rsidR="003B722D" w:rsidRPr="003B722D" w14:paraId="70C46F37" w14:textId="77777777" w:rsidTr="003B722D">
        <w:tc>
          <w:tcPr>
            <w:tcW w:w="0" w:type="auto"/>
            <w:hideMark/>
          </w:tcPr>
          <w:p w14:paraId="6A9844FC"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2</w:t>
            </w:r>
          </w:p>
        </w:tc>
        <w:tc>
          <w:tcPr>
            <w:tcW w:w="0" w:type="auto"/>
            <w:hideMark/>
          </w:tcPr>
          <w:p w14:paraId="6E9B6ADC"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From Hierarchical Monopoly to Platform-Mediated Dynamic Reconfiguration</w:t>
            </w:r>
          </w:p>
        </w:tc>
        <w:tc>
          <w:tcPr>
            <w:tcW w:w="0" w:type="auto"/>
            <w:hideMark/>
          </w:tcPr>
          <w:p w14:paraId="5B5F68AA"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From fixed, hierarchy-bound functions and authority to fluid, platform-mediated reconfiguration of responsibilities through dedicated digital units, multi-stakeholder models, and technology-enabled workflow orchestration without formal structural reform</w:t>
            </w:r>
          </w:p>
        </w:tc>
        <w:tc>
          <w:tcPr>
            <w:tcW w:w="0" w:type="auto"/>
            <w:hideMark/>
          </w:tcPr>
          <w:p w14:paraId="763F2D94"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Maulana et al. 2022, 2024; Zeng et al. 2022; Dunleavy et al. 2005; Viana 2025; Gao 2024</w:t>
            </w:r>
          </w:p>
        </w:tc>
      </w:tr>
    </w:tbl>
    <w:p w14:paraId="5944A82A" w14:textId="38EE01D2" w:rsidR="003B722D" w:rsidRDefault="003B722D"/>
    <w:p w14:paraId="1DC8A1A5" w14:textId="34EDEDF1" w:rsidR="003B722D" w:rsidRDefault="003B722D"/>
    <w:p w14:paraId="26CDF677" w14:textId="46750ABF" w:rsidR="003B722D" w:rsidRDefault="003B722D"/>
    <w:tbl>
      <w:tblPr>
        <w:tblStyle w:val="a7"/>
        <w:tblW w:w="0" w:type="auto"/>
        <w:tblLook w:val="04A0" w:firstRow="1" w:lastRow="0" w:firstColumn="1" w:lastColumn="0" w:noHBand="0" w:noVBand="1"/>
      </w:tblPr>
      <w:tblGrid>
        <w:gridCol w:w="579"/>
        <w:gridCol w:w="2515"/>
        <w:gridCol w:w="3035"/>
        <w:gridCol w:w="2167"/>
      </w:tblGrid>
      <w:tr w:rsidR="003B722D" w:rsidRPr="003B722D" w14:paraId="56FDE82C" w14:textId="77777777" w:rsidTr="003B722D">
        <w:tc>
          <w:tcPr>
            <w:tcW w:w="0" w:type="auto"/>
            <w:hideMark/>
          </w:tcPr>
          <w:p w14:paraId="732B3CF8"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No.</w:t>
            </w:r>
          </w:p>
        </w:tc>
        <w:tc>
          <w:tcPr>
            <w:tcW w:w="0" w:type="auto"/>
            <w:hideMark/>
          </w:tcPr>
          <w:p w14:paraId="5CCEF3D2"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Leadership Transformation Dimension</w:t>
            </w:r>
          </w:p>
        </w:tc>
        <w:tc>
          <w:tcPr>
            <w:tcW w:w="0" w:type="auto"/>
            <w:hideMark/>
          </w:tcPr>
          <w:p w14:paraId="0A6CB7B4"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Precise &amp; Journal-Ready Description (Ultra-Concise)</w:t>
            </w:r>
          </w:p>
        </w:tc>
        <w:tc>
          <w:tcPr>
            <w:tcW w:w="0" w:type="auto"/>
            <w:hideMark/>
          </w:tcPr>
          <w:p w14:paraId="07D023E6" w14:textId="77777777" w:rsidR="003B722D" w:rsidRPr="003B722D" w:rsidRDefault="003B722D" w:rsidP="003B722D">
            <w:pPr>
              <w:widowControl/>
              <w:jc w:val="center"/>
              <w:rPr>
                <w:rFonts w:ascii="宋体" w:eastAsia="宋体" w:hAnsi="宋体" w:cs="宋体"/>
                <w:b/>
                <w:bCs/>
                <w:kern w:val="0"/>
                <w:sz w:val="24"/>
                <w:szCs w:val="24"/>
              </w:rPr>
            </w:pPr>
            <w:r w:rsidRPr="003B722D">
              <w:rPr>
                <w:rFonts w:ascii="宋体" w:eastAsia="宋体" w:hAnsi="宋体" w:cs="宋体"/>
                <w:b/>
                <w:bCs/>
                <w:kern w:val="0"/>
                <w:sz w:val="24"/>
                <w:szCs w:val="24"/>
              </w:rPr>
              <w:t>Key References</w:t>
            </w:r>
          </w:p>
        </w:tc>
      </w:tr>
      <w:tr w:rsidR="003B722D" w:rsidRPr="003B722D" w14:paraId="329584BD" w14:textId="77777777" w:rsidTr="003B722D">
        <w:tc>
          <w:tcPr>
            <w:tcW w:w="0" w:type="auto"/>
            <w:hideMark/>
          </w:tcPr>
          <w:p w14:paraId="65C0D3F9"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lastRenderedPageBreak/>
              <w:t>1</w:t>
            </w:r>
          </w:p>
        </w:tc>
        <w:tc>
          <w:tcPr>
            <w:tcW w:w="0" w:type="auto"/>
            <w:hideMark/>
          </w:tcPr>
          <w:p w14:paraId="3190D831"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From Transactional-Control to Transformational-Adaptive Leadership</w:t>
            </w:r>
          </w:p>
        </w:tc>
        <w:tc>
          <w:tcPr>
            <w:tcW w:w="0" w:type="auto"/>
            <w:hideMark/>
          </w:tcPr>
          <w:p w14:paraId="1CC29663"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Shifts from transactional, compliance-focused, hierarchical control to transformational (vision, intellectual stimulation) and adaptive (diagnose, experiment, mobilize) leadership</w:t>
            </w:r>
          </w:p>
        </w:tc>
        <w:tc>
          <w:tcPr>
            <w:tcW w:w="0" w:type="auto"/>
            <w:hideMark/>
          </w:tcPr>
          <w:p w14:paraId="70100B7C"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 xml:space="preserve">Huang et al. 2023; Dema et al. 2023; </w:t>
            </w:r>
            <w:proofErr w:type="spellStart"/>
            <w:r w:rsidRPr="003B722D">
              <w:rPr>
                <w:rFonts w:ascii="宋体" w:eastAsia="宋体" w:hAnsi="宋体" w:cs="宋体"/>
                <w:kern w:val="0"/>
                <w:sz w:val="24"/>
                <w:szCs w:val="24"/>
              </w:rPr>
              <w:t>Nazmah</w:t>
            </w:r>
            <w:proofErr w:type="spellEnd"/>
            <w:r w:rsidRPr="003B722D">
              <w:rPr>
                <w:rFonts w:ascii="宋体" w:eastAsia="宋体" w:hAnsi="宋体" w:cs="宋体"/>
                <w:kern w:val="0"/>
                <w:sz w:val="24"/>
                <w:szCs w:val="24"/>
              </w:rPr>
              <w:t xml:space="preserve"> et al. 2025; </w:t>
            </w:r>
            <w:proofErr w:type="spellStart"/>
            <w:r w:rsidRPr="003B722D">
              <w:rPr>
                <w:rFonts w:ascii="宋体" w:eastAsia="宋体" w:hAnsi="宋体" w:cs="宋体"/>
                <w:kern w:val="0"/>
                <w:sz w:val="24"/>
                <w:szCs w:val="24"/>
              </w:rPr>
              <w:t>Ringson</w:t>
            </w:r>
            <w:proofErr w:type="spellEnd"/>
            <w:r w:rsidRPr="003B722D">
              <w:rPr>
                <w:rFonts w:ascii="宋体" w:eastAsia="宋体" w:hAnsi="宋体" w:cs="宋体"/>
                <w:kern w:val="0"/>
                <w:sz w:val="24"/>
                <w:szCs w:val="24"/>
              </w:rPr>
              <w:t xml:space="preserve"> &amp; </w:t>
            </w:r>
            <w:proofErr w:type="spellStart"/>
            <w:r w:rsidRPr="003B722D">
              <w:rPr>
                <w:rFonts w:ascii="宋体" w:eastAsia="宋体" w:hAnsi="宋体" w:cs="宋体"/>
                <w:kern w:val="0"/>
                <w:sz w:val="24"/>
                <w:szCs w:val="24"/>
              </w:rPr>
              <w:t>Matshabaphala</w:t>
            </w:r>
            <w:proofErr w:type="spellEnd"/>
            <w:r w:rsidRPr="003B722D">
              <w:rPr>
                <w:rFonts w:ascii="宋体" w:eastAsia="宋体" w:hAnsi="宋体" w:cs="宋体"/>
                <w:kern w:val="0"/>
                <w:sz w:val="24"/>
                <w:szCs w:val="24"/>
              </w:rPr>
              <w:t xml:space="preserve"> 2023</w:t>
            </w:r>
          </w:p>
        </w:tc>
      </w:tr>
      <w:tr w:rsidR="003B722D" w:rsidRPr="003B722D" w14:paraId="03851AA0" w14:textId="77777777" w:rsidTr="003B722D">
        <w:tc>
          <w:tcPr>
            <w:tcW w:w="0" w:type="auto"/>
            <w:hideMark/>
          </w:tcPr>
          <w:p w14:paraId="2D1227B2"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2</w:t>
            </w:r>
          </w:p>
        </w:tc>
        <w:tc>
          <w:tcPr>
            <w:tcW w:w="0" w:type="auto"/>
            <w:hideMark/>
          </w:tcPr>
          <w:p w14:paraId="2C8993C2"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From Silo-Based to Boundary-Spanning &amp; Platform Leadership</w:t>
            </w:r>
          </w:p>
        </w:tc>
        <w:tc>
          <w:tcPr>
            <w:tcW w:w="0" w:type="auto"/>
            <w:hideMark/>
          </w:tcPr>
          <w:p w14:paraId="34F646E1"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Shifts from silo-bound, upwardly accountable leadership to boundary-spanning, facilitative, and platform-oriented leadership focused on cross-agency integration and citizen co-production</w:t>
            </w:r>
          </w:p>
        </w:tc>
        <w:tc>
          <w:tcPr>
            <w:tcW w:w="0" w:type="auto"/>
            <w:hideMark/>
          </w:tcPr>
          <w:p w14:paraId="6709F190" w14:textId="77777777" w:rsidR="003B722D" w:rsidRPr="003B722D" w:rsidRDefault="003B722D" w:rsidP="003B722D">
            <w:pPr>
              <w:widowControl/>
              <w:jc w:val="left"/>
              <w:rPr>
                <w:rFonts w:ascii="宋体" w:eastAsia="宋体" w:hAnsi="宋体" w:cs="宋体"/>
                <w:kern w:val="0"/>
                <w:sz w:val="24"/>
                <w:szCs w:val="24"/>
              </w:rPr>
            </w:pPr>
            <w:r w:rsidRPr="003B722D">
              <w:rPr>
                <w:rFonts w:ascii="宋体" w:eastAsia="宋体" w:hAnsi="宋体" w:cs="宋体"/>
                <w:kern w:val="0"/>
                <w:sz w:val="24"/>
                <w:szCs w:val="24"/>
              </w:rPr>
              <w:t xml:space="preserve">Mian et al. 2025; Maulana et al. 2022 &amp; 2024; </w:t>
            </w:r>
            <w:proofErr w:type="spellStart"/>
            <w:r w:rsidRPr="003B722D">
              <w:rPr>
                <w:rFonts w:ascii="宋体" w:eastAsia="宋体" w:hAnsi="宋体" w:cs="宋体"/>
                <w:kern w:val="0"/>
                <w:sz w:val="24"/>
                <w:szCs w:val="24"/>
              </w:rPr>
              <w:t>Breaugh</w:t>
            </w:r>
            <w:proofErr w:type="spellEnd"/>
            <w:r w:rsidRPr="003B722D">
              <w:rPr>
                <w:rFonts w:ascii="宋体" w:eastAsia="宋体" w:hAnsi="宋体" w:cs="宋体"/>
                <w:kern w:val="0"/>
                <w:sz w:val="24"/>
                <w:szCs w:val="24"/>
              </w:rPr>
              <w:t xml:space="preserve"> et al. 2023; Gao 2024; Viana 2025</w:t>
            </w:r>
          </w:p>
        </w:tc>
      </w:tr>
    </w:tbl>
    <w:p w14:paraId="132A2139" w14:textId="77777777" w:rsidR="003B722D" w:rsidRPr="003B722D" w:rsidRDefault="003B722D">
      <w:pPr>
        <w:rPr>
          <w:rFonts w:hint="eastAsia"/>
        </w:rPr>
      </w:pPr>
    </w:p>
    <w:sectPr w:rsidR="003B722D" w:rsidRPr="003B72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8BED4" w14:textId="77777777" w:rsidR="008C214D" w:rsidRDefault="008C214D" w:rsidP="004E22F8">
      <w:r>
        <w:separator/>
      </w:r>
    </w:p>
  </w:endnote>
  <w:endnote w:type="continuationSeparator" w:id="0">
    <w:p w14:paraId="2025F0F4" w14:textId="77777777" w:rsidR="008C214D" w:rsidRDefault="008C214D" w:rsidP="004E2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8206B" w14:textId="77777777" w:rsidR="008C214D" w:rsidRDefault="008C214D" w:rsidP="004E22F8">
      <w:r>
        <w:separator/>
      </w:r>
    </w:p>
  </w:footnote>
  <w:footnote w:type="continuationSeparator" w:id="0">
    <w:p w14:paraId="4D63CE2B" w14:textId="77777777" w:rsidR="008C214D" w:rsidRDefault="008C214D" w:rsidP="004E22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88"/>
    <w:rsid w:val="002928DE"/>
    <w:rsid w:val="003B722D"/>
    <w:rsid w:val="004E22F8"/>
    <w:rsid w:val="006038E8"/>
    <w:rsid w:val="006B5412"/>
    <w:rsid w:val="00787CAF"/>
    <w:rsid w:val="008C214D"/>
    <w:rsid w:val="00E970B0"/>
    <w:rsid w:val="00EC1688"/>
    <w:rsid w:val="00F11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0C762"/>
  <w15:chartTrackingRefBased/>
  <w15:docId w15:val="{B2ECE37E-9596-4F24-AF7D-FAA3B255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22F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E22F8"/>
    <w:rPr>
      <w:sz w:val="18"/>
      <w:szCs w:val="18"/>
    </w:rPr>
  </w:style>
  <w:style w:type="paragraph" w:styleId="a5">
    <w:name w:val="footer"/>
    <w:basedOn w:val="a"/>
    <w:link w:val="a6"/>
    <w:uiPriority w:val="99"/>
    <w:unhideWhenUsed/>
    <w:rsid w:val="004E22F8"/>
    <w:pPr>
      <w:tabs>
        <w:tab w:val="center" w:pos="4153"/>
        <w:tab w:val="right" w:pos="8306"/>
      </w:tabs>
      <w:snapToGrid w:val="0"/>
      <w:jc w:val="left"/>
    </w:pPr>
    <w:rPr>
      <w:sz w:val="18"/>
      <w:szCs w:val="18"/>
    </w:rPr>
  </w:style>
  <w:style w:type="character" w:customStyle="1" w:styleId="a6">
    <w:name w:val="页脚 字符"/>
    <w:basedOn w:val="a0"/>
    <w:link w:val="a5"/>
    <w:uiPriority w:val="99"/>
    <w:rsid w:val="004E22F8"/>
    <w:rPr>
      <w:sz w:val="18"/>
      <w:szCs w:val="18"/>
    </w:rPr>
  </w:style>
  <w:style w:type="table" w:styleId="a7">
    <w:name w:val="Table Grid"/>
    <w:basedOn w:val="a1"/>
    <w:uiPriority w:val="39"/>
    <w:rsid w:val="004E22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4">
    <w:name w:val="Grid Table 3 Accent 4"/>
    <w:basedOn w:val="a1"/>
    <w:uiPriority w:val="48"/>
    <w:rsid w:val="004E22F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4-4">
    <w:name w:val="Grid Table 4 Accent 4"/>
    <w:basedOn w:val="a1"/>
    <w:uiPriority w:val="49"/>
    <w:rsid w:val="004E22F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a8">
    <w:name w:val="Normal (Web)"/>
    <w:basedOn w:val="a"/>
    <w:uiPriority w:val="99"/>
    <w:semiHidden/>
    <w:unhideWhenUsed/>
    <w:rsid w:val="004E22F8"/>
    <w:pPr>
      <w:widowControl/>
      <w:spacing w:before="100" w:beforeAutospacing="1" w:after="100" w:afterAutospacing="1"/>
      <w:jc w:val="left"/>
    </w:pPr>
    <w:rPr>
      <w:rFonts w:ascii="宋体" w:eastAsia="宋体" w:hAnsi="宋体" w:cs="宋体"/>
      <w:kern w:val="0"/>
      <w:sz w:val="24"/>
      <w:szCs w:val="24"/>
    </w:rPr>
  </w:style>
  <w:style w:type="table" w:styleId="a9">
    <w:name w:val="Grid Table Light"/>
    <w:basedOn w:val="a1"/>
    <w:uiPriority w:val="40"/>
    <w:rsid w:val="003B72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564749">
      <w:bodyDiv w:val="1"/>
      <w:marLeft w:val="0"/>
      <w:marRight w:val="0"/>
      <w:marTop w:val="0"/>
      <w:marBottom w:val="0"/>
      <w:divBdr>
        <w:top w:val="none" w:sz="0" w:space="0" w:color="auto"/>
        <w:left w:val="none" w:sz="0" w:space="0" w:color="auto"/>
        <w:bottom w:val="none" w:sz="0" w:space="0" w:color="auto"/>
        <w:right w:val="none" w:sz="0" w:space="0" w:color="auto"/>
      </w:divBdr>
    </w:div>
    <w:div w:id="344596128">
      <w:bodyDiv w:val="1"/>
      <w:marLeft w:val="0"/>
      <w:marRight w:val="0"/>
      <w:marTop w:val="0"/>
      <w:marBottom w:val="0"/>
      <w:divBdr>
        <w:top w:val="none" w:sz="0" w:space="0" w:color="auto"/>
        <w:left w:val="none" w:sz="0" w:space="0" w:color="auto"/>
        <w:bottom w:val="none" w:sz="0" w:space="0" w:color="auto"/>
        <w:right w:val="none" w:sz="0" w:space="0" w:color="auto"/>
      </w:divBdr>
    </w:div>
    <w:div w:id="346834609">
      <w:bodyDiv w:val="1"/>
      <w:marLeft w:val="0"/>
      <w:marRight w:val="0"/>
      <w:marTop w:val="0"/>
      <w:marBottom w:val="0"/>
      <w:divBdr>
        <w:top w:val="none" w:sz="0" w:space="0" w:color="auto"/>
        <w:left w:val="none" w:sz="0" w:space="0" w:color="auto"/>
        <w:bottom w:val="none" w:sz="0" w:space="0" w:color="auto"/>
        <w:right w:val="none" w:sz="0" w:space="0" w:color="auto"/>
      </w:divBdr>
    </w:div>
    <w:div w:id="472673259">
      <w:bodyDiv w:val="1"/>
      <w:marLeft w:val="0"/>
      <w:marRight w:val="0"/>
      <w:marTop w:val="0"/>
      <w:marBottom w:val="0"/>
      <w:divBdr>
        <w:top w:val="none" w:sz="0" w:space="0" w:color="auto"/>
        <w:left w:val="none" w:sz="0" w:space="0" w:color="auto"/>
        <w:bottom w:val="none" w:sz="0" w:space="0" w:color="auto"/>
        <w:right w:val="none" w:sz="0" w:space="0" w:color="auto"/>
      </w:divBdr>
    </w:div>
    <w:div w:id="624893012">
      <w:bodyDiv w:val="1"/>
      <w:marLeft w:val="0"/>
      <w:marRight w:val="0"/>
      <w:marTop w:val="0"/>
      <w:marBottom w:val="0"/>
      <w:divBdr>
        <w:top w:val="none" w:sz="0" w:space="0" w:color="auto"/>
        <w:left w:val="none" w:sz="0" w:space="0" w:color="auto"/>
        <w:bottom w:val="none" w:sz="0" w:space="0" w:color="auto"/>
        <w:right w:val="none" w:sz="0" w:space="0" w:color="auto"/>
      </w:divBdr>
    </w:div>
    <w:div w:id="687102643">
      <w:bodyDiv w:val="1"/>
      <w:marLeft w:val="0"/>
      <w:marRight w:val="0"/>
      <w:marTop w:val="0"/>
      <w:marBottom w:val="0"/>
      <w:divBdr>
        <w:top w:val="none" w:sz="0" w:space="0" w:color="auto"/>
        <w:left w:val="none" w:sz="0" w:space="0" w:color="auto"/>
        <w:bottom w:val="none" w:sz="0" w:space="0" w:color="auto"/>
        <w:right w:val="none" w:sz="0" w:space="0" w:color="auto"/>
      </w:divBdr>
    </w:div>
    <w:div w:id="704714314">
      <w:bodyDiv w:val="1"/>
      <w:marLeft w:val="0"/>
      <w:marRight w:val="0"/>
      <w:marTop w:val="0"/>
      <w:marBottom w:val="0"/>
      <w:divBdr>
        <w:top w:val="none" w:sz="0" w:space="0" w:color="auto"/>
        <w:left w:val="none" w:sz="0" w:space="0" w:color="auto"/>
        <w:bottom w:val="none" w:sz="0" w:space="0" w:color="auto"/>
        <w:right w:val="none" w:sz="0" w:space="0" w:color="auto"/>
      </w:divBdr>
    </w:div>
    <w:div w:id="785197239">
      <w:bodyDiv w:val="1"/>
      <w:marLeft w:val="0"/>
      <w:marRight w:val="0"/>
      <w:marTop w:val="0"/>
      <w:marBottom w:val="0"/>
      <w:divBdr>
        <w:top w:val="none" w:sz="0" w:space="0" w:color="auto"/>
        <w:left w:val="none" w:sz="0" w:space="0" w:color="auto"/>
        <w:bottom w:val="none" w:sz="0" w:space="0" w:color="auto"/>
        <w:right w:val="none" w:sz="0" w:space="0" w:color="auto"/>
      </w:divBdr>
    </w:div>
    <w:div w:id="889148378">
      <w:bodyDiv w:val="1"/>
      <w:marLeft w:val="0"/>
      <w:marRight w:val="0"/>
      <w:marTop w:val="0"/>
      <w:marBottom w:val="0"/>
      <w:divBdr>
        <w:top w:val="none" w:sz="0" w:space="0" w:color="auto"/>
        <w:left w:val="none" w:sz="0" w:space="0" w:color="auto"/>
        <w:bottom w:val="none" w:sz="0" w:space="0" w:color="auto"/>
        <w:right w:val="none" w:sz="0" w:space="0" w:color="auto"/>
      </w:divBdr>
    </w:div>
    <w:div w:id="930894737">
      <w:bodyDiv w:val="1"/>
      <w:marLeft w:val="0"/>
      <w:marRight w:val="0"/>
      <w:marTop w:val="0"/>
      <w:marBottom w:val="0"/>
      <w:divBdr>
        <w:top w:val="none" w:sz="0" w:space="0" w:color="auto"/>
        <w:left w:val="none" w:sz="0" w:space="0" w:color="auto"/>
        <w:bottom w:val="none" w:sz="0" w:space="0" w:color="auto"/>
        <w:right w:val="none" w:sz="0" w:space="0" w:color="auto"/>
      </w:divBdr>
    </w:div>
    <w:div w:id="1075972709">
      <w:bodyDiv w:val="1"/>
      <w:marLeft w:val="0"/>
      <w:marRight w:val="0"/>
      <w:marTop w:val="0"/>
      <w:marBottom w:val="0"/>
      <w:divBdr>
        <w:top w:val="none" w:sz="0" w:space="0" w:color="auto"/>
        <w:left w:val="none" w:sz="0" w:space="0" w:color="auto"/>
        <w:bottom w:val="none" w:sz="0" w:space="0" w:color="auto"/>
        <w:right w:val="none" w:sz="0" w:space="0" w:color="auto"/>
      </w:divBdr>
    </w:div>
    <w:div w:id="1111509575">
      <w:bodyDiv w:val="1"/>
      <w:marLeft w:val="0"/>
      <w:marRight w:val="0"/>
      <w:marTop w:val="0"/>
      <w:marBottom w:val="0"/>
      <w:divBdr>
        <w:top w:val="none" w:sz="0" w:space="0" w:color="auto"/>
        <w:left w:val="none" w:sz="0" w:space="0" w:color="auto"/>
        <w:bottom w:val="none" w:sz="0" w:space="0" w:color="auto"/>
        <w:right w:val="none" w:sz="0" w:space="0" w:color="auto"/>
      </w:divBdr>
    </w:div>
    <w:div w:id="1298149141">
      <w:bodyDiv w:val="1"/>
      <w:marLeft w:val="0"/>
      <w:marRight w:val="0"/>
      <w:marTop w:val="0"/>
      <w:marBottom w:val="0"/>
      <w:divBdr>
        <w:top w:val="none" w:sz="0" w:space="0" w:color="auto"/>
        <w:left w:val="none" w:sz="0" w:space="0" w:color="auto"/>
        <w:bottom w:val="none" w:sz="0" w:space="0" w:color="auto"/>
        <w:right w:val="none" w:sz="0" w:space="0" w:color="auto"/>
      </w:divBdr>
    </w:div>
    <w:div w:id="209770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6224</Words>
  <Characters>35482</Characters>
  <Application>Microsoft Office Word</Application>
  <DocSecurity>0</DocSecurity>
  <Lines>295</Lines>
  <Paragraphs>83</Paragraphs>
  <ScaleCrop>false</ScaleCrop>
  <Company/>
  <LinksUpToDate>false</LinksUpToDate>
  <CharactersWithSpaces>41623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Yi-Xuan Gong</dc:creator>
  <cp:keywords/>
  <dc:description/>
  <cp:lastModifiedBy>Yi-Xuan Gong</cp:lastModifiedBy>
  <cp:revision>5</cp:revision>
  <dcterms:created xsi:type="dcterms:W3CDTF">2025-12-11T08:56:00Z</dcterms:created>
  <dcterms:modified xsi:type="dcterms:W3CDTF">2025-12-11T09:17:00Z</dcterms:modified>
</cp:coreProperties>
</file>