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CAC61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论文草稿（改动部分）</w:t>
      </w:r>
    </w:p>
    <w:p w14:paraId="704850C4">
      <w:pPr>
        <w:pStyle w:val="2"/>
        <w:spacing w:before="240" w:after="240" w:line="400" w:lineRule="exact"/>
        <w:rPr>
          <w:rFonts w:hint="default" w:ascii="Times New Roman" w:hAnsi="Times New Roman" w:eastAsia="宋体" w:cs="Times New Roman"/>
          <w:i w:val="0"/>
          <w:color w:val="000000"/>
          <w:sz w:val="28"/>
          <w:szCs w:val="28"/>
          <w:lang w:val="en-US" w:eastAsia="zh-CN"/>
        </w:rPr>
      </w:pPr>
      <w:bookmarkStart w:id="0" w:name="_Toc14891"/>
      <w:r>
        <w:rPr>
          <w:rFonts w:hint="eastAsia" w:eastAsia="宋体" w:cs="Times New Roman"/>
          <w:i w:val="0"/>
          <w:color w:val="000000"/>
          <w:sz w:val="28"/>
          <w:szCs w:val="28"/>
          <w:lang w:val="en-US" w:eastAsia="zh-CN"/>
        </w:rPr>
        <w:t>（删减</w:t>
      </w:r>
      <w:bookmarkStart w:id="1" w:name="_GoBack"/>
      <w:bookmarkEnd w:id="1"/>
      <w:r>
        <w:rPr>
          <w:rFonts w:hint="eastAsia" w:eastAsia="宋体" w:cs="Times New Roman"/>
          <w:i w:val="0"/>
          <w:color w:val="000000"/>
          <w:sz w:val="28"/>
          <w:szCs w:val="28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i w:val="0"/>
          <w:color w:val="000000"/>
          <w:sz w:val="28"/>
          <w:szCs w:val="28"/>
          <w:lang w:val="en-US" w:eastAsia="zh-CN"/>
        </w:rPr>
        <w:t>7.4 可视化效果展示</w:t>
      </w:r>
      <w:bookmarkEnd w:id="0"/>
    </w:p>
    <w:p w14:paraId="3EF44929">
      <w:pPr>
        <w:spacing w:line="360" w:lineRule="auto"/>
        <w:ind w:firstLine="472" w:firstLineChars="200"/>
        <w:rPr>
          <w:rFonts w:hint="default" w:ascii="Times New Roman" w:hAnsi="Times New Roman" w:eastAsia="宋体" w:cs="Times New Roman"/>
          <w:spacing w:val="-2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pacing w:val="-2"/>
          <w:sz w:val="24"/>
          <w:szCs w:val="22"/>
          <w:lang w:val="en-US" w:eastAsia="zh-CN"/>
        </w:rPr>
        <w:t xml:space="preserve">通过FineBI连接MySQL数据库中的DM层指标数据，制作完成了包含多个分析维度的交互式仪表盘。仪表盘主要展示内容包括： </w:t>
      </w:r>
    </w:p>
    <w:p w14:paraId="67AF2855">
      <w:pPr>
        <w:numPr>
          <w:ilvl w:val="0"/>
          <w:numId w:val="0"/>
        </w:numPr>
        <w:spacing w:line="360" w:lineRule="auto"/>
        <w:ind w:firstLine="472" w:firstLineChars="200"/>
        <w:rPr>
          <w:rFonts w:hint="default" w:ascii="Times New Roman" w:hAnsi="Times New Roman" w:eastAsia="宋体" w:cs="Times New Roman"/>
          <w:spacing w:val="-2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pacing w:val="-2"/>
          <w:kern w:val="2"/>
          <w:sz w:val="24"/>
          <w:szCs w:val="22"/>
          <w:lang w:val="en-US" w:eastAsia="zh-CN" w:bidi="ar-SA"/>
        </w:rPr>
        <w:t>1、</w:t>
      </w:r>
      <w:r>
        <w:rPr>
          <w:rFonts w:hint="default" w:ascii="Times New Roman" w:hAnsi="Times New Roman" w:eastAsia="宋体" w:cs="Times New Roman"/>
          <w:spacing w:val="-2"/>
          <w:sz w:val="24"/>
          <w:szCs w:val="22"/>
          <w:lang w:val="en-US" w:eastAsia="zh-CN"/>
        </w:rPr>
        <w:t xml:space="preserve">销售趋势展示：月度销售趋势表以明细表呈现，展示了2015年至2021年间各品牌按月的平均售价、总产量、总销量和总利润数据，共计1200余条记录，支持分页浏览（共13页）；季度销售趋势表同样以明细表呈现，展示统计季度（YYYY-Q格式）、品牌、季度总产量、季度总利润、季度总销量和平均售价等指标，共计410条记录；年度销售趋势表以玫瑰图呈现，通过扇区半径直观对比各品牌的年度销售规模，扇区标签标注平均售价数值，能够一目了然地识别销售领先品牌；地区销售分析表以地图形式呈现，在中国地图上通过气泡标记展示各产地（如广东、上海、北京、江苏、浙江、山东等）的销售热度分布。 </w:t>
      </w:r>
    </w:p>
    <w:p w14:paraId="112CEE15">
      <w:pPr>
        <w:numPr>
          <w:ilvl w:val="0"/>
          <w:numId w:val="0"/>
        </w:numPr>
        <w:spacing w:line="360" w:lineRule="auto"/>
        <w:ind w:firstLine="472" w:firstLineChars="200"/>
        <w:rPr>
          <w:rFonts w:hint="default" w:ascii="Times New Roman" w:hAnsi="Times New Roman" w:eastAsia="宋体" w:cs="Times New Roman"/>
          <w:spacing w:val="-2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pacing w:val="-2"/>
          <w:sz w:val="24"/>
          <w:szCs w:val="22"/>
          <w:lang w:val="en-US" w:eastAsia="zh-CN"/>
        </w:rPr>
        <w:t xml:space="preserve">2、客户画像展示：客户年龄分析表以分组柱状图呈现，按18-30岁、31-45岁、46-60岁三个年龄段分组，通过渐变色柱状图对比各品牌在不同年龄段的客户数量、销量和平均购买价格差异；客户性别分析表以环形图呈现，清晰展示了丰田（女7908、男7738）、哪吒汽车（女7095、男4370）、奥迪（女5677、男5748）等各品牌的男女客户数量分布；客户职业分析表以分组柱状图呈现，多行多指标对比不同职业群体在各品牌间的购车特征差异。 </w:t>
      </w:r>
    </w:p>
    <w:p w14:paraId="7BB76F5A">
      <w:pPr>
        <w:numPr>
          <w:ilvl w:val="0"/>
          <w:numId w:val="0"/>
        </w:numPr>
        <w:spacing w:line="360" w:lineRule="auto"/>
        <w:ind w:firstLine="472" w:firstLineChars="200"/>
        <w:rPr>
          <w:rFonts w:hint="default" w:ascii="Times New Roman" w:hAnsi="Times New Roman" w:eastAsia="宋体" w:cs="Times New Roman"/>
          <w:spacing w:val="-2"/>
          <w:sz w:val="24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pacing w:val="-2"/>
          <w:sz w:val="24"/>
          <w:szCs w:val="22"/>
          <w:lang w:val="en-US" w:eastAsia="zh-CN"/>
        </w:rPr>
        <w:t xml:space="preserve">3、产品特征展示：价格区间分析表以玫瑰图呈现，通过不同颜色和半径的扇区展示各品牌在0-20万、20-40万、40-60万、60万以上四个价格区间的销量分布和客户满意度；电池容量分析表以分组柱状图呈现，分50-80kWh和80-110kWh两个容量区间对比各品牌的平均售价、平均续航里程和销量；续航里程分析表以环形图呈现，展示各品牌的充电频率和平均电池容量指标；驱动形式分析表以分组柱状图呈现，分层展示各品牌在不同驱动形式下的平均售价和销量对比；充电效率分析表以明细表呈现，共计2420条记录，详细展示各月各品牌在快充、慢充、混合充条件下的平均售价和销量数据；智能化水平分析表以桑基图呈现，通过流线的粗细直观展示各品牌向不同智能化等级（L2至L5）的销量流向分布。 </w:t>
      </w:r>
    </w:p>
    <w:p w14:paraId="6D4AD4FD">
      <w:pPr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spacing w:val="-2"/>
          <w:sz w:val="24"/>
          <w:szCs w:val="22"/>
          <w:lang w:val="en-US" w:eastAsia="zh-CN"/>
        </w:rPr>
        <w:t>4、利润过户展示：利润分析表以明细表呈现，展示各月各品牌的单车利润、利润率、总成本和总利润等财务指标，支持排序和分页浏览；过户状态分析表以交叉表呈现，展示丰田、哪吒汽车、奥迪、宝马、小鹏汽车、比亚迪、沃尔沃、特斯拉、蔚来、雷克萨斯等10个品牌的过户原因分析、过户状态、平均过户价格和过户数量，支持展开查看各品牌不同过户状态的详细信息。 仪表盘的排序、筛选和展开收起功能运行正常，用户可以通过交互操作灵活探索不同维度的数据，满足多样化的决策支持需求。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长城楷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02A17"/>
    <w:rsid w:val="28F0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adjustRightInd w:val="0"/>
      <w:textAlignment w:val="baseline"/>
      <w:outlineLvl w:val="1"/>
    </w:pPr>
    <w:rPr>
      <w:rFonts w:ascii="Times New Roman" w:hAnsi="Times New Roman" w:eastAsia="长城楷体"/>
      <w:b/>
      <w:bCs/>
      <w:i/>
      <w:iCs/>
      <w:szCs w:val="21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2026-03-28T12:08:00Z</dcterms:created>
  <dc:creator>墨雨</dc:creator>
  <cp:lastModifiedBy>墨雨</cp:lastModifiedBy>
  <dcterms:modified xsi:type="dcterms:W3CDTF">2026-03-28T12:09:19Z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3D5DA7AE1B1F44ED84E70345BACD839E_11</vt:lpwstr>
  </property>
  <property fmtid="{D5CDD505-2E9C-101B-9397-08002B2CF9AE}" pid="4" name="KSOTemplateDocerSaveRecord">
    <vt:lpwstr>eyJoZGlkIjoiODllNmJiMDcyNDM3YzRmZjQ1MGEwMjUzNjQ2ZjdjN2UiLCJ1c2VySWQiOiI4MzU5NTMwMTIifQ==</vt:lpwstr>
  </property>
</Properties>
</file>