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1C5E8">
      <w:pPr>
        <w:jc w:val="center"/>
        <w:rPr>
          <w:rFonts w:ascii="Times New Roman" w:hAnsi="Times New Roman" w:eastAsia="黑体"/>
          <w:b/>
          <w:spacing w:val="32"/>
          <w:sz w:val="52"/>
          <w:szCs w:val="52"/>
        </w:rPr>
      </w:pPr>
    </w:p>
    <w:p w14:paraId="5CD62680">
      <w:pPr>
        <w:jc w:val="center"/>
        <w:rPr>
          <w:rFonts w:hint="eastAsia" w:ascii="Times New Roman" w:hAnsi="Times New Roman" w:eastAsia="方正舒体"/>
          <w:b/>
          <w:sz w:val="72"/>
          <w:lang w:val="en-US" w:eastAsia="zh-CN"/>
        </w:rPr>
      </w:pPr>
      <w:r>
        <w:rPr>
          <w:rFonts w:hint="eastAsia" w:ascii="Times New Roman" w:hAnsi="Times New Roman" w:eastAsia="方正舒体"/>
          <w:b/>
          <w:sz w:val="72"/>
          <w:lang w:val="en-US" w:eastAsia="zh-CN"/>
        </w:rPr>
        <w:t>马鞍山学院</w:t>
      </w:r>
    </w:p>
    <w:p w14:paraId="35AA1534">
      <w:pPr>
        <w:jc w:val="center"/>
        <w:rPr>
          <w:rFonts w:ascii="Times New Roman" w:hAnsi="Times New Roman" w:eastAsia="黑体"/>
          <w:b/>
          <w:spacing w:val="32"/>
          <w:sz w:val="52"/>
          <w:szCs w:val="52"/>
        </w:rPr>
      </w:pPr>
      <w:r>
        <w:rPr>
          <w:rFonts w:hint="eastAsia" w:ascii="Times New Roman" w:hAnsi="Times New Roman" w:eastAsia="黑体"/>
          <w:b/>
          <w:spacing w:val="32"/>
          <w:sz w:val="52"/>
          <w:szCs w:val="52"/>
        </w:rPr>
        <w:t>本科</w:t>
      </w:r>
      <w:r>
        <w:rPr>
          <w:rFonts w:ascii="Times New Roman" w:hAnsi="Times New Roman" w:eastAsia="黑体"/>
          <w:b/>
          <w:spacing w:val="32"/>
          <w:sz w:val="52"/>
          <w:szCs w:val="52"/>
        </w:rPr>
        <w:t>毕业设计（论文）</w:t>
      </w:r>
      <w:r>
        <w:rPr>
          <w:rFonts w:hint="eastAsia" w:ascii="Times New Roman" w:hAnsi="Times New Roman" w:eastAsia="黑体"/>
          <w:b/>
          <w:spacing w:val="32"/>
          <w:sz w:val="52"/>
          <w:szCs w:val="52"/>
        </w:rPr>
        <w:t>开题报告</w:t>
      </w:r>
    </w:p>
    <w:p w14:paraId="309F11D3">
      <w:pPr>
        <w:jc w:val="center"/>
        <w:rPr>
          <w:rFonts w:ascii="Times New Roman" w:hAnsi="Times New Roman" w:eastAsia="黑体"/>
          <w:b/>
          <w:spacing w:val="32"/>
          <w:sz w:val="52"/>
          <w:szCs w:val="52"/>
        </w:rPr>
      </w:pPr>
    </w:p>
    <w:tbl>
      <w:tblPr>
        <w:tblStyle w:val="8"/>
        <w:tblW w:w="6487" w:type="dxa"/>
        <w:jc w:val="center"/>
        <w:tblLayout w:type="autofit"/>
        <w:tblCellMar>
          <w:top w:w="0" w:type="dxa"/>
          <w:left w:w="108" w:type="dxa"/>
          <w:bottom w:w="0" w:type="dxa"/>
          <w:right w:w="108" w:type="dxa"/>
        </w:tblCellMar>
      </w:tblPr>
      <w:tblGrid>
        <w:gridCol w:w="2127"/>
        <w:gridCol w:w="4360"/>
      </w:tblGrid>
      <w:tr w14:paraId="2975F3C2">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vAlign w:val="bottom"/>
          </w:tcPr>
          <w:p w14:paraId="7F423530">
            <w:pPr>
              <w:spacing w:before="100" w:beforeAutospacing="1" w:afterLines="100"/>
              <w:ind w:firstLine="25" w:firstLineChars="7"/>
              <w:jc w:val="center"/>
              <w:rPr>
                <w:rFonts w:ascii="Times New Roman" w:hAnsi="Times New Roman"/>
                <w:sz w:val="32"/>
                <w:szCs w:val="32"/>
              </w:rPr>
            </w:pPr>
            <w:r>
              <w:rPr>
                <w:rFonts w:hint="eastAsia" w:ascii="Times New Roman" w:hAnsi="Times New Roman"/>
                <w:spacing w:val="22"/>
                <w:kern w:val="0"/>
                <w:sz w:val="32"/>
                <w:szCs w:val="32"/>
              </w:rPr>
              <w:t>学    院</w:t>
            </w:r>
            <w:r>
              <w:rPr>
                <w:rFonts w:hint="eastAsia" w:ascii="Times New Roman" w:hAnsi="Times New Roman"/>
                <w:spacing w:val="1"/>
                <w:kern w:val="0"/>
                <w:sz w:val="32"/>
                <w:szCs w:val="32"/>
              </w:rPr>
              <w:t>：</w:t>
            </w:r>
          </w:p>
        </w:tc>
        <w:tc>
          <w:tcPr>
            <w:tcW w:w="4360" w:type="dxa"/>
            <w:tcBorders>
              <w:bottom w:val="single" w:color="auto" w:sz="4" w:space="0"/>
            </w:tcBorders>
            <w:shd w:val="clear" w:color="auto" w:fill="auto"/>
          </w:tcPr>
          <w:p w14:paraId="561FDFD6">
            <w:pPr>
              <w:spacing w:before="100" w:beforeAutospacing="1" w:afterLines="100" w:line="480" w:lineRule="auto"/>
              <w:jc w:val="center"/>
              <w:rPr>
                <w:rFonts w:hint="eastAsia" w:ascii="Times New Roman" w:hAnsi="Times New Roman" w:eastAsia="宋体"/>
                <w:sz w:val="28"/>
                <w:szCs w:val="28"/>
                <w:lang w:val="en-US" w:eastAsia="zh-Hans"/>
              </w:rPr>
            </w:pPr>
            <w:r>
              <w:rPr>
                <w:rFonts w:hint="eastAsia" w:ascii="Times New Roman" w:hAnsi="Times New Roman" w:eastAsia="宋体"/>
                <w:sz w:val="28"/>
                <w:szCs w:val="28"/>
                <w:lang w:val="en-US" w:eastAsia="zh-Hans"/>
              </w:rPr>
              <w:t>大数据与人工智能学院</w:t>
            </w:r>
          </w:p>
        </w:tc>
      </w:tr>
      <w:tr w14:paraId="2DB4663C">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vAlign w:val="bottom"/>
          </w:tcPr>
          <w:p w14:paraId="363047D4">
            <w:pPr>
              <w:spacing w:before="100" w:beforeAutospacing="1" w:afterLines="100"/>
              <w:jc w:val="center"/>
              <w:rPr>
                <w:rFonts w:ascii="Times New Roman" w:hAnsi="Times New Roman"/>
                <w:sz w:val="32"/>
                <w:szCs w:val="32"/>
              </w:rPr>
            </w:pPr>
            <w:r>
              <w:rPr>
                <w:rFonts w:hint="eastAsia" w:ascii="Times New Roman" w:hAnsi="Times New Roman"/>
                <w:spacing w:val="24"/>
                <w:kern w:val="0"/>
                <w:sz w:val="32"/>
                <w:szCs w:val="32"/>
              </w:rPr>
              <w:t>专    业</w:t>
            </w:r>
            <w:r>
              <w:rPr>
                <w:rFonts w:hint="eastAsia" w:ascii="Times New Roman" w:hAnsi="Times New Roman"/>
                <w:spacing w:val="2"/>
                <w:kern w:val="0"/>
                <w:sz w:val="32"/>
                <w:szCs w:val="32"/>
              </w:rPr>
              <w:t>：</w:t>
            </w:r>
          </w:p>
        </w:tc>
        <w:tc>
          <w:tcPr>
            <w:tcW w:w="4360" w:type="dxa"/>
            <w:tcBorders>
              <w:top w:val="single" w:color="auto" w:sz="4" w:space="0"/>
              <w:bottom w:val="single" w:color="auto" w:sz="4" w:space="0"/>
            </w:tcBorders>
            <w:shd w:val="clear" w:color="auto" w:fill="auto"/>
          </w:tcPr>
          <w:p w14:paraId="64D413FF">
            <w:pPr>
              <w:spacing w:before="100" w:beforeAutospacing="1" w:afterLines="100" w:line="480" w:lineRule="auto"/>
              <w:jc w:val="center"/>
              <w:rPr>
                <w:rFonts w:hint="default" w:ascii="Times New Roman" w:hAnsi="Times New Roman" w:eastAsia="宋体"/>
                <w:sz w:val="28"/>
                <w:szCs w:val="28"/>
                <w:lang w:val="en-US" w:eastAsia="zh-CN"/>
              </w:rPr>
            </w:pPr>
            <w:r>
              <w:rPr>
                <w:rFonts w:hint="eastAsia"/>
                <w:sz w:val="28"/>
                <w:szCs w:val="28"/>
                <w:lang w:val="en-US" w:eastAsia="zh-CN"/>
              </w:rPr>
              <w:t>数据科学与大数据技术</w:t>
            </w:r>
          </w:p>
        </w:tc>
      </w:tr>
      <w:tr w14:paraId="606BB47D">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vAlign w:val="bottom"/>
          </w:tcPr>
          <w:p w14:paraId="6BC4E743">
            <w:pPr>
              <w:spacing w:before="100" w:beforeAutospacing="1" w:afterLines="100"/>
              <w:jc w:val="center"/>
              <w:rPr>
                <w:rFonts w:ascii="Times New Roman" w:hAnsi="Times New Roman"/>
                <w:sz w:val="32"/>
                <w:szCs w:val="32"/>
              </w:rPr>
            </w:pPr>
            <w:r>
              <w:rPr>
                <w:rFonts w:hint="eastAsia" w:ascii="Times New Roman" w:hAnsi="Times New Roman"/>
                <w:spacing w:val="24"/>
                <w:kern w:val="0"/>
                <w:sz w:val="32"/>
                <w:szCs w:val="32"/>
              </w:rPr>
              <w:t>学    号</w:t>
            </w:r>
            <w:r>
              <w:rPr>
                <w:rFonts w:hint="eastAsia" w:ascii="Times New Roman" w:hAnsi="Times New Roman"/>
                <w:spacing w:val="2"/>
                <w:kern w:val="0"/>
                <w:sz w:val="32"/>
                <w:szCs w:val="32"/>
              </w:rPr>
              <w:t>：</w:t>
            </w:r>
          </w:p>
        </w:tc>
        <w:tc>
          <w:tcPr>
            <w:tcW w:w="4360" w:type="dxa"/>
            <w:tcBorders>
              <w:top w:val="single" w:color="auto" w:sz="4" w:space="0"/>
              <w:bottom w:val="single" w:color="auto" w:sz="4" w:space="0"/>
            </w:tcBorders>
            <w:shd w:val="clear" w:color="auto" w:fill="auto"/>
          </w:tcPr>
          <w:p w14:paraId="6EB377B3">
            <w:pPr>
              <w:spacing w:before="100" w:beforeAutospacing="1" w:afterLines="100" w:line="480" w:lineRule="auto"/>
              <w:jc w:val="center"/>
              <w:rPr>
                <w:rFonts w:hint="default" w:ascii="Times New Roman" w:hAnsi="Times New Roman" w:eastAsia="宋体"/>
                <w:sz w:val="28"/>
                <w:szCs w:val="28"/>
                <w:lang w:val="en-US" w:eastAsia="zh-CN"/>
              </w:rPr>
            </w:pPr>
            <w:r>
              <w:rPr>
                <w:rFonts w:hint="eastAsia" w:ascii="Times New Roman" w:hAnsi="Times New Roman"/>
                <w:sz w:val="28"/>
                <w:szCs w:val="28"/>
              </w:rPr>
              <w:t>2240</w:t>
            </w:r>
            <w:r>
              <w:rPr>
                <w:rFonts w:hint="eastAsia"/>
                <w:sz w:val="28"/>
                <w:szCs w:val="28"/>
                <w:lang w:val="en-US" w:eastAsia="zh-CN"/>
              </w:rPr>
              <w:t>4291</w:t>
            </w:r>
          </w:p>
        </w:tc>
      </w:tr>
      <w:tr w14:paraId="443E3DA3">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vAlign w:val="bottom"/>
          </w:tcPr>
          <w:p w14:paraId="1F3B49A0">
            <w:pPr>
              <w:spacing w:before="100" w:beforeAutospacing="1" w:afterLines="100"/>
              <w:jc w:val="center"/>
              <w:rPr>
                <w:rFonts w:ascii="Times New Roman" w:hAnsi="Times New Roman"/>
                <w:sz w:val="32"/>
                <w:szCs w:val="32"/>
              </w:rPr>
            </w:pPr>
            <w:r>
              <w:rPr>
                <w:rFonts w:hint="eastAsia" w:ascii="Times New Roman" w:hAnsi="Times New Roman"/>
                <w:spacing w:val="24"/>
                <w:kern w:val="0"/>
                <w:sz w:val="32"/>
                <w:szCs w:val="32"/>
              </w:rPr>
              <w:t>姓    名</w:t>
            </w:r>
            <w:r>
              <w:rPr>
                <w:rFonts w:hint="eastAsia" w:ascii="Times New Roman" w:hAnsi="Times New Roman"/>
                <w:spacing w:val="2"/>
                <w:kern w:val="0"/>
                <w:sz w:val="32"/>
                <w:szCs w:val="32"/>
              </w:rPr>
              <w:t>：</w:t>
            </w:r>
          </w:p>
        </w:tc>
        <w:tc>
          <w:tcPr>
            <w:tcW w:w="4360" w:type="dxa"/>
            <w:tcBorders>
              <w:top w:val="single" w:color="auto" w:sz="4" w:space="0"/>
              <w:bottom w:val="single" w:color="auto" w:sz="4" w:space="0"/>
            </w:tcBorders>
            <w:shd w:val="clear" w:color="auto" w:fill="auto"/>
          </w:tcPr>
          <w:p w14:paraId="727146E9">
            <w:pPr>
              <w:spacing w:before="100" w:beforeAutospacing="1" w:afterLines="100" w:line="480" w:lineRule="auto"/>
              <w:jc w:val="center"/>
              <w:rPr>
                <w:rFonts w:hint="eastAsia" w:ascii="Times New Roman" w:hAnsi="Times New Roman" w:eastAsia="宋体"/>
                <w:sz w:val="28"/>
                <w:szCs w:val="28"/>
                <w:lang w:val="en-US" w:eastAsia="zh-CN"/>
              </w:rPr>
            </w:pPr>
            <w:r>
              <w:rPr>
                <w:rFonts w:hint="eastAsia"/>
                <w:sz w:val="28"/>
                <w:szCs w:val="28"/>
                <w:lang w:val="en-US" w:eastAsia="zh-CN"/>
              </w:rPr>
              <w:t>江磊</w:t>
            </w:r>
          </w:p>
        </w:tc>
      </w:tr>
      <w:tr w14:paraId="499EEE66">
        <w:tblPrEx>
          <w:tblCellMar>
            <w:top w:w="0" w:type="dxa"/>
            <w:left w:w="108" w:type="dxa"/>
            <w:bottom w:w="0" w:type="dxa"/>
            <w:right w:w="108" w:type="dxa"/>
          </w:tblCellMar>
        </w:tblPrEx>
        <w:trPr>
          <w:trHeight w:val="851" w:hRule="exact"/>
          <w:jc w:val="center"/>
        </w:trPr>
        <w:tc>
          <w:tcPr>
            <w:tcW w:w="2127" w:type="dxa"/>
            <w:shd w:val="clear" w:color="auto" w:fill="auto"/>
            <w:tcMar>
              <w:top w:w="170" w:type="dxa"/>
            </w:tcMar>
            <w:vAlign w:val="bottom"/>
          </w:tcPr>
          <w:p w14:paraId="1FECDB41">
            <w:pPr>
              <w:spacing w:before="100" w:beforeAutospacing="1" w:afterLines="100"/>
              <w:jc w:val="center"/>
              <w:rPr>
                <w:rFonts w:ascii="Times New Roman" w:hAnsi="Times New Roman"/>
                <w:sz w:val="32"/>
                <w:szCs w:val="32"/>
              </w:rPr>
            </w:pPr>
            <w:r>
              <w:rPr>
                <w:rFonts w:hint="eastAsia" w:ascii="Times New Roman" w:hAnsi="Times New Roman"/>
                <w:spacing w:val="36"/>
                <w:kern w:val="0"/>
                <w:sz w:val="32"/>
                <w:szCs w:val="32"/>
              </w:rPr>
              <w:t>指导</w:t>
            </w:r>
            <w:r>
              <w:rPr>
                <w:rFonts w:ascii="Times New Roman" w:hAnsi="Times New Roman"/>
                <w:spacing w:val="36"/>
                <w:kern w:val="0"/>
                <w:sz w:val="32"/>
                <w:szCs w:val="32"/>
              </w:rPr>
              <w:t>教师</w:t>
            </w:r>
            <w:r>
              <w:rPr>
                <w:rFonts w:hint="eastAsia" w:ascii="Times New Roman" w:hAnsi="Times New Roman"/>
                <w:spacing w:val="1"/>
                <w:kern w:val="0"/>
                <w:sz w:val="32"/>
                <w:szCs w:val="32"/>
              </w:rPr>
              <w:t>：</w:t>
            </w:r>
          </w:p>
        </w:tc>
        <w:tc>
          <w:tcPr>
            <w:tcW w:w="4360" w:type="dxa"/>
            <w:tcBorders>
              <w:top w:val="single" w:color="auto" w:sz="4" w:space="0"/>
              <w:bottom w:val="single" w:color="auto" w:sz="4" w:space="0"/>
            </w:tcBorders>
            <w:shd w:val="clear" w:color="auto" w:fill="auto"/>
          </w:tcPr>
          <w:p w14:paraId="75298C66">
            <w:pPr>
              <w:spacing w:before="100" w:beforeAutospacing="1" w:afterLines="100" w:line="480" w:lineRule="auto"/>
              <w:jc w:val="center"/>
              <w:rPr>
                <w:rFonts w:hint="eastAsia" w:ascii="Times New Roman" w:hAnsi="Times New Roman" w:eastAsia="宋体"/>
                <w:sz w:val="28"/>
                <w:szCs w:val="28"/>
                <w:lang w:val="en-US" w:eastAsia="zh-CN"/>
              </w:rPr>
            </w:pPr>
            <w:r>
              <w:rPr>
                <w:rFonts w:hint="eastAsia"/>
                <w:sz w:val="28"/>
                <w:szCs w:val="28"/>
                <w:lang w:val="en-US" w:eastAsia="zh-CN"/>
              </w:rPr>
              <w:t>郑心科</w:t>
            </w:r>
          </w:p>
        </w:tc>
      </w:tr>
      <w:tr w14:paraId="71604019">
        <w:tblPrEx>
          <w:tblCellMar>
            <w:top w:w="0" w:type="dxa"/>
            <w:left w:w="108" w:type="dxa"/>
            <w:bottom w:w="0" w:type="dxa"/>
            <w:right w:w="108" w:type="dxa"/>
          </w:tblCellMar>
        </w:tblPrEx>
        <w:trPr>
          <w:trHeight w:val="850" w:hRule="exact"/>
          <w:jc w:val="center"/>
        </w:trPr>
        <w:tc>
          <w:tcPr>
            <w:tcW w:w="2127" w:type="dxa"/>
            <w:shd w:val="clear" w:color="auto" w:fill="auto"/>
            <w:tcMar>
              <w:top w:w="170" w:type="dxa"/>
            </w:tcMar>
            <w:vAlign w:val="bottom"/>
          </w:tcPr>
          <w:p w14:paraId="02A8D58A">
            <w:pPr>
              <w:spacing w:before="100" w:beforeAutospacing="1" w:afterLines="100"/>
              <w:jc w:val="center"/>
              <w:rPr>
                <w:rFonts w:ascii="Times New Roman" w:hAnsi="Times New Roman"/>
                <w:sz w:val="32"/>
                <w:szCs w:val="32"/>
              </w:rPr>
            </w:pPr>
            <w:r>
              <w:rPr>
                <w:rFonts w:hint="eastAsia" w:ascii="Times New Roman" w:hAnsi="Times New Roman"/>
                <w:spacing w:val="36"/>
                <w:kern w:val="0"/>
                <w:sz w:val="32"/>
                <w:szCs w:val="32"/>
              </w:rPr>
              <w:t>开题</w:t>
            </w:r>
            <w:r>
              <w:rPr>
                <w:rFonts w:ascii="Times New Roman" w:hAnsi="Times New Roman"/>
                <w:spacing w:val="36"/>
                <w:kern w:val="0"/>
                <w:sz w:val="32"/>
                <w:szCs w:val="32"/>
              </w:rPr>
              <w:t>日期</w:t>
            </w:r>
            <w:r>
              <w:rPr>
                <w:rFonts w:ascii="Times New Roman" w:hAnsi="Times New Roman"/>
                <w:spacing w:val="1"/>
                <w:kern w:val="0"/>
                <w:sz w:val="32"/>
                <w:szCs w:val="32"/>
              </w:rPr>
              <w:t>：</w:t>
            </w:r>
          </w:p>
        </w:tc>
        <w:tc>
          <w:tcPr>
            <w:tcW w:w="4360" w:type="dxa"/>
            <w:tcBorders>
              <w:top w:val="single" w:color="auto" w:sz="4" w:space="0"/>
              <w:bottom w:val="single" w:color="auto" w:sz="4" w:space="0"/>
            </w:tcBorders>
            <w:shd w:val="clear" w:color="auto" w:fill="auto"/>
          </w:tcPr>
          <w:p w14:paraId="5219FE12">
            <w:pPr>
              <w:spacing w:before="100" w:beforeAutospacing="1" w:afterLines="100" w:line="480" w:lineRule="auto"/>
              <w:jc w:val="center"/>
              <w:rPr>
                <w:rFonts w:hint="default" w:ascii="Times New Roman" w:hAnsi="Times New Roman" w:eastAsia="宋体"/>
                <w:sz w:val="28"/>
                <w:szCs w:val="28"/>
                <w:lang w:val="en-US" w:eastAsia="zh-CN"/>
              </w:rPr>
            </w:pPr>
            <w:r>
              <w:rPr>
                <w:rFonts w:hint="default" w:ascii="Times New Roman" w:hAnsi="Times New Roman" w:eastAsia="宋体"/>
                <w:sz w:val="28"/>
                <w:szCs w:val="28"/>
                <w:lang w:val="en-US" w:eastAsia="zh-CN"/>
              </w:rPr>
              <w:t>年     月     日</w:t>
            </w:r>
          </w:p>
          <w:p w14:paraId="44EFA92E">
            <w:pPr>
              <w:spacing w:before="100" w:beforeAutospacing="1" w:afterLines="100" w:line="480" w:lineRule="auto"/>
              <w:jc w:val="center"/>
              <w:rPr>
                <w:rFonts w:hint="default" w:ascii="Times New Roman" w:hAnsi="Times New Roman" w:eastAsia="宋体"/>
                <w:sz w:val="28"/>
                <w:szCs w:val="28"/>
                <w:lang w:val="en-US" w:eastAsia="zh-CN"/>
              </w:rPr>
            </w:pPr>
          </w:p>
        </w:tc>
      </w:tr>
    </w:tbl>
    <w:p w14:paraId="6C98AE2E">
      <w:pPr>
        <w:spacing w:before="100" w:beforeAutospacing="1" w:afterLines="100" w:line="480" w:lineRule="auto"/>
        <w:rPr>
          <w:rFonts w:ascii="Times New Roman" w:hAnsi="Times New Roman"/>
        </w:rPr>
      </w:pPr>
    </w:p>
    <w:p w14:paraId="331E7A17">
      <w:pPr>
        <w:spacing w:before="100" w:beforeAutospacing="1" w:afterLines="100" w:line="480" w:lineRule="auto"/>
        <w:rPr>
          <w:rFonts w:ascii="Times New Roman" w:hAnsi="Times New Roman"/>
        </w:rPr>
      </w:pPr>
    </w:p>
    <w:p w14:paraId="3E365B7B">
      <w:pPr>
        <w:widowControl/>
        <w:jc w:val="left"/>
        <w:rPr>
          <w:rFonts w:ascii="Times New Roman" w:hAnsi="Times New Roman"/>
        </w:rPr>
      </w:pPr>
      <w:r>
        <w:rPr>
          <w:rFonts w:ascii="Times New Roman" w:hAnsi="Times New Roman"/>
        </w:rPr>
        <w:br w:type="page"/>
      </w:r>
    </w:p>
    <w:p w14:paraId="30975771">
      <w:pPr>
        <w:pStyle w:val="3"/>
        <w:spacing w:line="360" w:lineRule="auto"/>
        <w:ind w:left="256" w:right="458" w:rightChars="218" w:firstLine="0" w:firstLineChars="0"/>
        <w:jc w:val="center"/>
        <w:rPr>
          <w:rFonts w:ascii="Times New Roman" w:hAnsi="Times New Roman" w:eastAsia="黑体"/>
          <w:sz w:val="36"/>
        </w:rPr>
      </w:pPr>
      <w:r>
        <w:rPr>
          <w:rFonts w:hint="eastAsia" w:ascii="Times New Roman" w:hAnsi="Times New Roman" w:eastAsia="黑体"/>
          <w:sz w:val="36"/>
        </w:rPr>
        <w:t>填写说明</w:t>
      </w:r>
    </w:p>
    <w:p w14:paraId="06E401F9">
      <w:pPr>
        <w:pStyle w:val="3"/>
        <w:spacing w:line="360" w:lineRule="auto"/>
        <w:ind w:left="0" w:right="-57" w:rightChars="-27" w:firstLine="593" w:firstLineChars="212"/>
        <w:rPr>
          <w:rFonts w:ascii="Times New Roman" w:hAnsi="Times New Roman"/>
        </w:rPr>
      </w:pPr>
      <w:r>
        <w:rPr>
          <w:rFonts w:hint="eastAsia" w:ascii="Times New Roman" w:hAnsi="Times New Roman"/>
        </w:rPr>
        <w:t>1．开题报告作为毕业设计（论文）答辩委员会对学生答辩资格审查的依据材料之一。此报告应在指导教师指导下，由学生在毕业设计（论文）工作前期完成；</w:t>
      </w:r>
    </w:p>
    <w:p w14:paraId="67453693">
      <w:pPr>
        <w:pStyle w:val="3"/>
        <w:spacing w:line="360" w:lineRule="auto"/>
        <w:ind w:left="0" w:right="-57" w:rightChars="-27" w:firstLine="593" w:firstLineChars="212"/>
        <w:rPr>
          <w:rFonts w:ascii="Times New Roman" w:hAnsi="Times New Roman"/>
        </w:rPr>
      </w:pPr>
      <w:r>
        <w:rPr>
          <w:rFonts w:hint="eastAsia" w:ascii="Times New Roman" w:hAnsi="Times New Roman"/>
        </w:rPr>
        <w:t>2．文中引用参考文献处应标出文献序号，文后参考文献的书写，应按照《信息与文献 参考文献著录规则》（GB/T 7714-2015）的规定进行书写；</w:t>
      </w:r>
    </w:p>
    <w:p w14:paraId="61A2E016">
      <w:pPr>
        <w:pStyle w:val="3"/>
        <w:spacing w:line="360" w:lineRule="auto"/>
        <w:ind w:left="0" w:right="-57" w:rightChars="-27" w:firstLine="593" w:firstLineChars="212"/>
        <w:rPr>
          <w:rFonts w:ascii="Times New Roman" w:hAnsi="Times New Roman"/>
        </w:rPr>
      </w:pPr>
      <w:r>
        <w:rPr>
          <w:rFonts w:hint="eastAsia" w:ascii="Times New Roman" w:hAnsi="Times New Roman"/>
        </w:rPr>
        <w:t>3．有关年月日等日期的填写，应按照《数据元和交换格式、信息交换、日期和时间表示法》（</w:t>
      </w:r>
      <w:r>
        <w:rPr>
          <w:rFonts w:ascii="Times New Roman" w:hAnsi="Times New Roman"/>
        </w:rPr>
        <w:t>GB/T 7408</w:t>
      </w:r>
      <w:r>
        <w:rPr>
          <w:rFonts w:hint="eastAsia" w:ascii="Times New Roman" w:hAnsi="Times New Roman"/>
        </w:rPr>
        <w:t>—</w:t>
      </w:r>
      <w:r>
        <w:rPr>
          <w:rFonts w:ascii="Times New Roman" w:hAnsi="Times New Roman"/>
        </w:rPr>
        <w:t>2015</w:t>
      </w:r>
      <w:r>
        <w:rPr>
          <w:rFonts w:hint="eastAsia" w:ascii="Times New Roman" w:hAnsi="Times New Roman"/>
        </w:rPr>
        <w:t>）规定的要求，一律用阿拉伯数字书写。如“</w:t>
      </w:r>
      <w:r>
        <w:rPr>
          <w:rFonts w:ascii="Times New Roman" w:hAnsi="Times New Roman"/>
        </w:rPr>
        <w:t>2020</w:t>
      </w:r>
      <w:r>
        <w:rPr>
          <w:rFonts w:hint="eastAsia" w:ascii="Times New Roman" w:hAnsi="Times New Roman"/>
        </w:rPr>
        <w:t>年3月15日”或“</w:t>
      </w:r>
      <w:r>
        <w:rPr>
          <w:rFonts w:ascii="Times New Roman" w:hAnsi="Times New Roman"/>
        </w:rPr>
        <w:t>2020</w:t>
      </w:r>
      <w:r>
        <w:rPr>
          <w:rFonts w:hint="eastAsia" w:ascii="Times New Roman" w:hAnsi="Times New Roman"/>
        </w:rPr>
        <w:t>-03-15”；</w:t>
      </w:r>
    </w:p>
    <w:p w14:paraId="31CDBB02">
      <w:pPr>
        <w:pStyle w:val="3"/>
        <w:spacing w:line="360" w:lineRule="auto"/>
        <w:ind w:left="0" w:right="-57" w:rightChars="-27" w:firstLine="593" w:firstLineChars="212"/>
        <w:rPr>
          <w:rFonts w:ascii="Times New Roman" w:hAnsi="Times New Roman"/>
        </w:rPr>
      </w:pPr>
      <w:r>
        <w:rPr>
          <w:rFonts w:hint="eastAsia" w:ascii="Times New Roman" w:hAnsi="Times New Roman"/>
        </w:rPr>
        <w:t>4．文中排版采用小四号宋体，1.5倍行距。</w:t>
      </w:r>
    </w:p>
    <w:p w14:paraId="419A7345">
      <w:pPr>
        <w:pStyle w:val="3"/>
        <w:spacing w:line="360" w:lineRule="auto"/>
        <w:ind w:left="0" w:right="-57" w:rightChars="-27" w:firstLine="593" w:firstLineChars="212"/>
        <w:rPr>
          <w:rFonts w:ascii="Times New Roman" w:hAnsi="Times New Roman"/>
        </w:rPr>
      </w:pPr>
      <w:r>
        <w:rPr>
          <w:rFonts w:ascii="Times New Roman" w:hAnsi="Times New Roman"/>
        </w:rPr>
        <w:t>5</w:t>
      </w:r>
      <w:r>
        <w:rPr>
          <w:rFonts w:hint="eastAsia" w:ascii="Times New Roman" w:hAnsi="Times New Roman"/>
        </w:rPr>
        <w:t>．可根据需要自行加页。</w:t>
      </w:r>
    </w:p>
    <w:p w14:paraId="3A45F78E">
      <w:pPr>
        <w:pStyle w:val="3"/>
        <w:spacing w:line="360" w:lineRule="auto"/>
        <w:ind w:left="0" w:right="-57" w:rightChars="-27" w:firstLine="0" w:firstLineChars="0"/>
        <w:rPr>
          <w:rFonts w:ascii="Times New Roman" w:hAnsi="Times New Roman"/>
        </w:rPr>
      </w:pPr>
    </w:p>
    <w:p w14:paraId="225AEE6E">
      <w:pPr>
        <w:widowControl/>
        <w:jc w:val="left"/>
        <w:rPr>
          <w:rFonts w:ascii="Times New Roman" w:hAnsi="Times New Roman"/>
        </w:rPr>
      </w:pPr>
      <w:r>
        <w:rPr>
          <w:rFonts w:ascii="Times New Roman" w:hAnsi="Times New Roman"/>
        </w:rPr>
        <w:br w:type="page"/>
      </w:r>
    </w:p>
    <w:tbl>
      <w:tblPr>
        <w:tblStyle w:val="8"/>
        <w:tblW w:w="8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958"/>
        <w:gridCol w:w="7821"/>
      </w:tblGrid>
      <w:tr w14:paraId="00921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61" w:hRule="atLeast"/>
          <w:jc w:val="center"/>
        </w:trPr>
        <w:tc>
          <w:tcPr>
            <w:tcW w:w="8779" w:type="dxa"/>
            <w:gridSpan w:val="2"/>
            <w:vAlign w:val="center"/>
          </w:tcPr>
          <w:p w14:paraId="3735D606">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cs="宋体"/>
                <w:sz w:val="24"/>
              </w:rPr>
            </w:pPr>
            <w:r>
              <w:rPr>
                <w:rFonts w:hint="eastAsia" w:ascii="Times New Roman" w:hAnsi="Times New Roman" w:cs="宋体"/>
                <w:sz w:val="24"/>
              </w:rPr>
              <w:t>毕业设计（论文）题目：</w:t>
            </w:r>
            <w:r>
              <w:rPr>
                <w:rFonts w:hint="eastAsia" w:ascii="Times New Roman" w:hAnsi="Times New Roman" w:eastAsia="宋体" w:cs="宋体"/>
                <w:sz w:val="24"/>
                <w:lang w:val="en-US" w:eastAsia="zh-CN"/>
              </w:rPr>
              <w:t>基于Hive+Spark的汽车销售数据分析与研究</w:t>
            </w:r>
          </w:p>
        </w:tc>
      </w:tr>
      <w:tr w14:paraId="0C6D2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844" w:hRule="exact"/>
          <w:jc w:val="center"/>
        </w:trPr>
        <w:tc>
          <w:tcPr>
            <w:tcW w:w="8779" w:type="dxa"/>
            <w:gridSpan w:val="2"/>
            <w:vAlign w:val="center"/>
          </w:tcPr>
          <w:p w14:paraId="5FFB6AFB">
            <w:pPr>
              <w:rPr>
                <w:rFonts w:ascii="Times New Roman" w:hAnsi="Times New Roman" w:cs="宋体"/>
                <w:sz w:val="24"/>
              </w:rPr>
            </w:pPr>
            <w:r>
              <w:rPr>
                <w:rFonts w:hint="eastAsia" w:ascii="Times New Roman" w:hAnsi="Times New Roman" w:cs="宋体"/>
                <w:sz w:val="24"/>
              </w:rPr>
              <w:t xml:space="preserve">题目性质：（ </w:t>
            </w:r>
            <w:r>
              <w:rPr>
                <w:rFonts w:hint="eastAsia" w:ascii="Times New Roman" w:hAnsi="Times New Roman" w:cs="宋体"/>
                <w:color w:val="000000" w:themeColor="text1"/>
                <w:sz w:val="24"/>
                <w14:textFill>
                  <w14:solidFill>
                    <w14:schemeClr w14:val="tx1"/>
                  </w14:solidFill>
                </w14:textFill>
              </w:rPr>
              <w:t>C</w:t>
            </w:r>
            <w:r>
              <w:rPr>
                <w:rFonts w:ascii="Times New Roman" w:hAnsi="Times New Roman" w:cs="宋体"/>
                <w:sz w:val="24"/>
              </w:rPr>
              <w:t xml:space="preserve"> </w:t>
            </w:r>
            <w:r>
              <w:rPr>
                <w:rFonts w:hint="eastAsia" w:ascii="Times New Roman" w:hAnsi="Times New Roman" w:cs="宋体"/>
                <w:sz w:val="24"/>
              </w:rPr>
              <w:t>）</w:t>
            </w:r>
            <w:r>
              <w:rPr>
                <w:rFonts w:ascii="Times New Roman" w:hAnsi="Times New Roman" w:cs="宋体"/>
                <w:sz w:val="24"/>
              </w:rPr>
              <w:t xml:space="preserve"> </w:t>
            </w:r>
            <w:r>
              <w:rPr>
                <w:rFonts w:hint="eastAsia" w:ascii="Times New Roman" w:hAnsi="Times New Roman" w:cs="宋体"/>
                <w:sz w:val="24"/>
              </w:rPr>
              <w:t>A 结合科研课题；B 结合工程</w:t>
            </w:r>
            <w:r>
              <w:rPr>
                <w:rFonts w:hint="eastAsia" w:ascii="Times New Roman" w:hAnsi="Times New Roman" w:cs="宋体"/>
                <w:color w:val="000000" w:themeColor="text1"/>
                <w:sz w:val="24"/>
                <w14:textFill>
                  <w14:solidFill>
                    <w14:schemeClr w14:val="tx1"/>
                  </w14:solidFill>
                </w14:textFill>
              </w:rPr>
              <w:t>项目；C结合社会实际；D 其它。</w:t>
            </w:r>
          </w:p>
        </w:tc>
      </w:tr>
      <w:tr w14:paraId="00C8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1013" w:hRule="atLeast"/>
          <w:jc w:val="center"/>
        </w:trPr>
        <w:tc>
          <w:tcPr>
            <w:tcW w:w="8779" w:type="dxa"/>
            <w:gridSpan w:val="2"/>
          </w:tcPr>
          <w:p w14:paraId="78CF29E2">
            <w:pPr>
              <w:rPr>
                <w:rFonts w:ascii="Times New Roman" w:hAnsi="Times New Roman" w:cs="宋体"/>
                <w:sz w:val="24"/>
              </w:rPr>
            </w:pPr>
          </w:p>
          <w:p w14:paraId="2824F691">
            <w:pPr>
              <w:numPr>
                <w:ilvl w:val="0"/>
                <w:numId w:val="1"/>
              </w:numPr>
              <w:ind w:firstLine="120" w:firstLineChars="50"/>
              <w:rPr>
                <w:rFonts w:hint="eastAsia" w:ascii="Times New Roman" w:hAnsi="Times New Roman"/>
                <w:sz w:val="24"/>
              </w:rPr>
            </w:pPr>
            <w:r>
              <w:rPr>
                <w:rFonts w:hint="eastAsia" w:ascii="Times New Roman" w:hAnsi="Times New Roman"/>
                <w:sz w:val="24"/>
              </w:rPr>
              <w:t>选题背景及依据（说明选题背景、目的和意义）</w:t>
            </w:r>
          </w:p>
          <w:p w14:paraId="0F883032">
            <w:pPr>
              <w:numPr>
                <w:ilvl w:val="0"/>
                <w:numId w:val="0"/>
              </w:numPr>
              <w:rPr>
                <w:rFonts w:hint="eastAsia" w:ascii="Times New Roman" w:hAnsi="Times New Roman"/>
                <w:sz w:val="24"/>
              </w:rPr>
            </w:pPr>
          </w:p>
          <w:p w14:paraId="401769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lang w:val="en-US" w:eastAsia="zh-CN"/>
              </w:rPr>
            </w:pPr>
            <w:r>
              <w:rPr>
                <w:rFonts w:hint="eastAsia" w:cs="Times New Roman"/>
                <w:sz w:val="24"/>
                <w:lang w:val="en-US" w:eastAsia="zh-CN"/>
              </w:rPr>
              <w:t>（一）</w:t>
            </w:r>
            <w:r>
              <w:rPr>
                <w:rFonts w:hint="default" w:ascii="Times New Roman" w:hAnsi="Times New Roman" w:eastAsia="宋体" w:cs="Times New Roman"/>
                <w:sz w:val="24"/>
                <w:lang w:val="en-US" w:eastAsia="zh-CN"/>
              </w:rPr>
              <w:t>选题背景</w:t>
            </w:r>
          </w:p>
          <w:p w14:paraId="078C16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数字化新能源时代，电动汽车产业蓬勃发展，成为全球汽车行业转型升级的关键方向。随着电动汽车市场的不断扩大，销售行业积累了海量涵盖销售、客户、市场等多方面的数据。这些数据蕴含着丰富的信息，对于企业制定销售策略、预测销售趋势、洞察客户需求以及优化市场布局等具有至关重要的价值。</w:t>
            </w:r>
          </w:p>
          <w:p w14:paraId="729E5E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然而，传统数据处理方式在面对如此庞大且复杂的数据时，暴露出诸多弊端。一方面，传统方法处理效率低下，难以在合理时间内完成对海量数据的分析和处理，无法满足企业对实时市场动态的把握需求。另一方面，其扩展性较差，随着数据量的不断增长，传统系统难以灵活应对，难以实现深度数据挖掘和复杂分析任务。</w:t>
            </w:r>
          </w:p>
          <w:p w14:paraId="383A64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与此同时，大数据技术正蓬勃发展。Hadoop 作为分布式计算框架，具备强大的存储和计算能力，能够高效处理大规模数据。Hive 构建在 Hadoop 之上，为大规模数据提供了结构化的查询分析功能，极大地方便了数据的处理和管理。Spark 作为快速通用的集群计算系统，在内存计算方面表现出色，适合处理复杂的数据分析，具有高度的灵活性和扩展性。此外，DataX可实现多数据源的高效传输和整合，确保数据的完整性和一致性。这些先进的大数据技术为电动汽车销售数据分析提供了有力的技术支撑。</w:t>
            </w:r>
          </w:p>
          <w:p w14:paraId="497CC9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在此背景下，如何利用大数据技术对电动汽车销售数据进行深度分析，成为汽车销售行业亟待解决的重要问题，也为本选题的研究提供了契机。</w:t>
            </w:r>
          </w:p>
          <w:p w14:paraId="36674F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lang w:val="en-US" w:eastAsia="zh-CN"/>
              </w:rPr>
            </w:pPr>
            <w:r>
              <w:rPr>
                <w:rFonts w:hint="eastAsia" w:cs="Times New Roman"/>
                <w:sz w:val="24"/>
                <w:lang w:val="en-US" w:eastAsia="zh-CN"/>
              </w:rPr>
              <w:t>（二）</w:t>
            </w:r>
            <w:r>
              <w:rPr>
                <w:rFonts w:hint="default" w:ascii="Times New Roman" w:hAnsi="Times New Roman" w:eastAsia="宋体" w:cs="Times New Roman"/>
                <w:sz w:val="24"/>
                <w:lang w:val="en-US" w:eastAsia="zh-CN"/>
              </w:rPr>
              <w:t>选题目的</w:t>
            </w:r>
          </w:p>
          <w:p w14:paraId="05D05E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本选题旨在运用大数据技术，构建一套完整的电动汽车销售数据分析平台，对海量电动汽车销售数据进行全面、深入</w:t>
            </w:r>
            <w:r>
              <w:rPr>
                <w:rFonts w:hint="eastAsia" w:ascii="Times New Roman" w:hAnsi="Times New Roman" w:eastAsia="宋体" w:cs="Times New Roman"/>
                <w:sz w:val="24"/>
                <w:lang w:val="en-US" w:eastAsia="zh-CN"/>
              </w:rPr>
              <w:t>的</w:t>
            </w:r>
            <w:r>
              <w:rPr>
                <w:rFonts w:hint="default" w:ascii="Times New Roman" w:hAnsi="Times New Roman" w:eastAsia="宋体" w:cs="Times New Roman"/>
                <w:sz w:val="24"/>
                <w:lang w:val="en-US" w:eastAsia="zh-CN"/>
              </w:rPr>
              <w:t>分析和挖掘。具体目的如下：</w:t>
            </w:r>
          </w:p>
          <w:p w14:paraId="75960E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1、挖掘销售趋势：通过对不同地区、不同车型的电动汽车销量数据进行分析，精准把握销售数量的月度、季度、年度变化趋势，找出不同时间段销售高峰与低谷的关联因素，为企业制定合理的生产和销售计划提供依据。</w:t>
            </w:r>
          </w:p>
          <w:p w14:paraId="63494A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2、洞察客户需求：结合用户年龄、性别、职业等客户信息，深入分析不同客户群体的购车偏好，找出影响客户购买决策的关键因素，以便企业能够更好地满足客户需求，进行精准营销。</w:t>
            </w:r>
          </w:p>
          <w:p w14:paraId="3F8851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3、优化市场策略：对比不同的电动汽车品牌、市场份额、售价等数据，分析自身企业在市场中的竞争优势与劣势，为企业制定科学合理的市场策略提供参考，提升企业的市场竞争力。</w:t>
            </w:r>
          </w:p>
          <w:p w14:paraId="352FAE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4、探索数据分析方法流程：总结适用于电动汽车销售行业的数据分析方法和流程，为行业内其他企业提供可借鉴的经验，推动整个行业的数据分析水平提升。</w:t>
            </w:r>
          </w:p>
          <w:p w14:paraId="461BBA8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lang w:val="en-US" w:eastAsia="zh-CN"/>
              </w:rPr>
            </w:pPr>
            <w:r>
              <w:rPr>
                <w:rFonts w:hint="eastAsia" w:cs="Times New Roman"/>
                <w:sz w:val="24"/>
                <w:lang w:val="en-US" w:eastAsia="zh-CN"/>
              </w:rPr>
              <w:t>（三）</w:t>
            </w:r>
            <w:r>
              <w:rPr>
                <w:rFonts w:hint="default" w:ascii="Times New Roman" w:hAnsi="Times New Roman" w:eastAsia="宋体" w:cs="Times New Roman"/>
                <w:sz w:val="24"/>
                <w:lang w:val="en-US" w:eastAsia="zh-CN"/>
              </w:rPr>
              <w:t>选题意义</w:t>
            </w:r>
          </w:p>
          <w:p w14:paraId="3223E8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1、学术价值</w:t>
            </w:r>
          </w:p>
          <w:p w14:paraId="08F489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本选题综合运用大数据技术、机器学习算法以及数据可视化技术，对电动汽车销售数据进行系统研究。在研究过程中，</w:t>
            </w:r>
            <w:r>
              <w:rPr>
                <w:rFonts w:hint="eastAsia" w:ascii="Times New Roman" w:hAnsi="Times New Roman" w:eastAsia="宋体" w:cs="Times New Roman"/>
                <w:sz w:val="24"/>
                <w:lang w:val="en-US" w:eastAsia="zh-CN"/>
              </w:rPr>
              <w:t>涉及到</w:t>
            </w:r>
            <w:r>
              <w:rPr>
                <w:rFonts w:hint="default" w:ascii="Times New Roman" w:hAnsi="Times New Roman" w:eastAsia="宋体" w:cs="Times New Roman"/>
                <w:sz w:val="24"/>
                <w:lang w:val="en-US" w:eastAsia="zh-CN"/>
              </w:rPr>
              <w:t>数据采集、存储、处理、分析以及可视化展示等多个环节，涵盖了多个学科领域的知识和技术。通过对这些技术和方法的应用与创新，能够丰富大数据在汽车销售领域的应用研究，为相关领域的学术研究提供新的思路和方法，具有一定的学术研究价值。</w:t>
            </w:r>
          </w:p>
          <w:p w14:paraId="594AB1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2、实践价值</w:t>
            </w:r>
          </w:p>
          <w:p w14:paraId="5BA86D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对于电动汽车销售企业而言，本选题的研究成果具有重要的实践指导意义。通过构建的数据分析平台，企业能够实时获取销售趋势、客户需求和市场动态等信息，为企业的生产、销售、营销等决策提供科学依据。例如，企业可以根据销售趋势分析结果，合理安排生产计划，避免库存积压或供不应求；根据客户需求分析结果，优化产品设计和营销策略，提高客户满意度和忠诚度；根据市场竞争分析结果，及时调整市场策略，提升企业的市场竞争力。</w:t>
            </w:r>
          </w:p>
          <w:p w14:paraId="030773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ascii="Times New Roman" w:hAnsi="Times New Roman" w:cs="宋体"/>
                <w:sz w:val="28"/>
                <w:szCs w:val="28"/>
              </w:rPr>
            </w:pPr>
            <w:r>
              <w:rPr>
                <w:rFonts w:hint="default" w:ascii="Times New Roman" w:hAnsi="Times New Roman" w:eastAsia="宋体" w:cs="Times New Roman"/>
                <w:sz w:val="24"/>
                <w:lang w:val="en-US" w:eastAsia="zh-CN"/>
              </w:rPr>
              <w:t>此外，本选题探索总结的数据分析方法流程，具有通用性和可复制性，能够为行业内其他企业提供参考和借鉴，帮助企业快速搭建适合自身的数据分析体系，提升整个行业的数据分析水平和决策科学性，推动电动汽车销售行业的数字化转型和可持续发展。</w:t>
            </w:r>
          </w:p>
        </w:tc>
      </w:tr>
      <w:tr w14:paraId="29417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3599" w:hRule="atLeast"/>
          <w:jc w:val="center"/>
        </w:trPr>
        <w:tc>
          <w:tcPr>
            <w:tcW w:w="8779" w:type="dxa"/>
            <w:gridSpan w:val="2"/>
          </w:tcPr>
          <w:p w14:paraId="472868CC">
            <w:pPr>
              <w:numPr>
                <w:ilvl w:val="0"/>
                <w:numId w:val="1"/>
              </w:numPr>
              <w:spacing w:line="360" w:lineRule="auto"/>
              <w:ind w:firstLine="120" w:firstLineChars="50"/>
              <w:rPr>
                <w:rFonts w:hint="eastAsia" w:ascii="Times New Roman" w:hAnsi="Times New Roman" w:eastAsiaTheme="minorEastAsia" w:cstheme="minorEastAsia"/>
                <w:sz w:val="24"/>
              </w:rPr>
            </w:pPr>
            <w:r>
              <w:rPr>
                <w:rFonts w:hint="eastAsia" w:ascii="Times New Roman" w:hAnsi="Times New Roman" w:eastAsiaTheme="minorEastAsia" w:cstheme="minorEastAsia"/>
                <w:sz w:val="24"/>
              </w:rPr>
              <w:t>文献综述（或调研报告）</w:t>
            </w:r>
          </w:p>
          <w:p w14:paraId="125CACE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1、</w:t>
            </w:r>
            <w:r>
              <w:rPr>
                <w:rFonts w:hint="eastAsia" w:ascii="Times New Roman" w:hAnsi="Times New Roman" w:eastAsia="宋体" w:cs="Times New Roman"/>
                <w:sz w:val="24"/>
              </w:rPr>
              <w:t>摘要</w:t>
            </w:r>
          </w:p>
          <w:p w14:paraId="4CB36A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在汽车销售行业数字化转型与大数据技术深度融合的背景下，销售数据的深度分析与可视化成为企业提升核心竞争力的关键。全球电动汽车市场持续扩张，国内新能源汽车销量高速增长</w:t>
            </w:r>
            <w:r>
              <w:rPr>
                <w:rFonts w:hint="eastAsia" w:ascii="Times New Roman" w:hAnsi="Times New Roman" w:eastAsia="宋体" w:cs="Times New Roman"/>
                <w:sz w:val="24"/>
                <w:lang w:val="en-US" w:eastAsia="zh-CN"/>
              </w:rPr>
              <w:fldChar w:fldCharType="begin"/>
            </w:r>
            <w:r>
              <w:rPr>
                <w:rFonts w:hint="eastAsia" w:ascii="Times New Roman" w:hAnsi="Times New Roman" w:eastAsia="宋体" w:cs="Times New Roman"/>
                <w:sz w:val="24"/>
                <w:lang w:val="en-US" w:eastAsia="zh-CN"/>
              </w:rPr>
              <w:instrText xml:space="preserve"> REF _Ref5930 \w \h </w:instrText>
            </w:r>
            <w:r>
              <w:rPr>
                <w:rFonts w:hint="eastAsia" w:ascii="Times New Roman" w:hAnsi="Times New Roman" w:eastAsia="宋体" w:cs="Times New Roman"/>
                <w:sz w:val="24"/>
                <w:lang w:val="en-US" w:eastAsia="zh-CN"/>
              </w:rPr>
              <w:fldChar w:fldCharType="separate"/>
            </w:r>
            <w:r>
              <w:rPr>
                <w:rFonts w:hint="eastAsia" w:ascii="Times New Roman" w:hAnsi="Times New Roman" w:eastAsia="宋体" w:cs="Times New Roman"/>
                <w:sz w:val="24"/>
                <w:vertAlign w:val="superscript"/>
                <w:lang w:val="en-US" w:eastAsia="zh-CN"/>
              </w:rPr>
              <w:t>[3]</w:t>
            </w:r>
            <w:r>
              <w:rPr>
                <w:rFonts w:hint="eastAsia" w:ascii="Times New Roman" w:hAnsi="Times New Roman" w:eastAsia="宋体" w:cs="Times New Roman"/>
                <w:sz w:val="24"/>
                <w:lang w:val="en-US" w:eastAsia="zh-CN"/>
              </w:rPr>
              <w:fldChar w:fldCharType="end"/>
            </w:r>
            <w:r>
              <w:rPr>
                <w:rFonts w:hint="eastAsia" w:ascii="Times New Roman" w:hAnsi="Times New Roman" w:eastAsia="宋体" w:cs="Times New Roman"/>
                <w:sz w:val="24"/>
                <w:lang w:val="en-US" w:eastAsia="zh-CN"/>
              </w:rPr>
              <w:fldChar w:fldCharType="begin"/>
            </w:r>
            <w:r>
              <w:rPr>
                <w:rFonts w:hint="eastAsia" w:ascii="Times New Roman" w:hAnsi="Times New Roman" w:eastAsia="宋体" w:cs="Times New Roman"/>
                <w:sz w:val="24"/>
                <w:lang w:val="en-US" w:eastAsia="zh-CN"/>
              </w:rPr>
              <w:instrText xml:space="preserve"> REF _Ref5943 \w \h </w:instrText>
            </w:r>
            <w:r>
              <w:rPr>
                <w:rFonts w:hint="eastAsia" w:ascii="Times New Roman" w:hAnsi="Times New Roman" w:eastAsia="宋体" w:cs="Times New Roman"/>
                <w:sz w:val="24"/>
                <w:lang w:val="en-US" w:eastAsia="zh-CN"/>
              </w:rPr>
              <w:fldChar w:fldCharType="separate"/>
            </w:r>
            <w:r>
              <w:rPr>
                <w:rFonts w:hint="eastAsia" w:ascii="Times New Roman" w:hAnsi="Times New Roman" w:eastAsia="宋体" w:cs="Times New Roman"/>
                <w:sz w:val="24"/>
                <w:vertAlign w:val="superscript"/>
                <w:lang w:val="en-US" w:eastAsia="zh-CN"/>
              </w:rPr>
              <w:t>[4]</w:t>
            </w:r>
            <w:r>
              <w:rPr>
                <w:rFonts w:hint="eastAsia" w:ascii="Times New Roman" w:hAnsi="Times New Roman" w:eastAsia="宋体" w:cs="Times New Roman"/>
                <w:sz w:val="24"/>
                <w:lang w:val="en-US" w:eastAsia="zh-CN"/>
              </w:rPr>
              <w:fldChar w:fldCharType="end"/>
            </w:r>
            <w:r>
              <w:rPr>
                <w:rFonts w:hint="eastAsia" w:ascii="Times New Roman" w:hAnsi="Times New Roman" w:eastAsia="宋体" w:cs="Times New Roman"/>
                <w:sz w:val="24"/>
                <w:lang w:val="en-US" w:eastAsia="zh-CN"/>
              </w:rPr>
              <w:t>，推动电动汽车销售数据价值挖掘成为行业研究与决策的核心方向。本课题聚焦汽车销售行业，依托权威公共数据集，运用大数据技术完成数据采集、存储、处理与分析，并通过可视化工具呈现结果。本文梳理国内外文献，从大数据技术应用、数据采集与预处理、技术操作流程、特色数据分析及可视化设计等方面归纳总结，提炼张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、HuangS等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学者的研究成果，剖析现有研究不足，为课题提供理论与实践支撑。</w:t>
            </w:r>
          </w:p>
          <w:p w14:paraId="7EAE05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rPr>
              <w:t>大数据技术在汽车销售与市场营销领域的应用现状</w:t>
            </w:r>
          </w:p>
          <w:p w14:paraId="5121D3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大数据技术在汽车销售领域应用日趋广泛，在电动汽车赛道的价值尤为突出，可有效挖掘销售趋势、洞察客户需求、优化市场策略</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。张蓉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通过分析电动汽车与成品油销量的关联趋势，验证了大数据在行业趋势研判中的作用，为成品油企业转型提供数据支撑；高小杰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基于销售大数据挖掘电动汽车市场偏好，为产品适应性设计提供精准决策依据。</w:t>
            </w:r>
          </w:p>
          <w:p w14:paraId="7A4BEC1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实际应用中，大数据可实现多维度销售分析，助力企业掌握区域、车型销售特征，挖掘客户偏好并提供个性化服务</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_Ref6234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_Ref6240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。冯秀秀</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_Ref6240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在MG公司研究中指出，企业因未充分运用大数据分析客户偏好导致营销策略缺乏针对性，反面印证了技术的核心价值。但目前研究多停留在理论层面，实际应用存在数据获取难、分析方法不成熟等问题</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，赵明奎等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_Ref6371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[2]</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发现，成品油企业充电站建设的需求分析仅局限基础统计，未通过大数据实现精准预测，直接影响建设性价比。</w:t>
            </w:r>
          </w:p>
          <w:p w14:paraId="145D3E0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3、</w:t>
            </w:r>
            <w:r>
              <w:rPr>
                <w:rFonts w:hint="eastAsia" w:ascii="Times New Roman" w:hAnsi="Times New Roman" w:eastAsia="宋体" w:cs="Times New Roman"/>
                <w:sz w:val="24"/>
              </w:rPr>
              <w:t>数据采集与预处理相关研究</w:t>
            </w:r>
          </w:p>
          <w:p w14:paraId="347467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（1）数据来源</w:t>
            </w:r>
          </w:p>
          <w:p w14:paraId="3A746B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数据采集是大数据分析的基础，质量与可靠性直接决定分析成效</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_Ref6234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。权威公共数据集经专业机构审核，准确度与完整性俱佳，是优质数据来源</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依托此类数据集开展市场偏好挖掘，保障了研究客观性。</w:t>
            </w:r>
          </w:p>
          <w:p w14:paraId="6169FC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网络爬虫技术是行业抓取大规模数据的常用手段</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，HuangS等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通过爬虫从行业平台与官方渠道抓取车型参数及销售数据，为纯电动汽车技术配置与销量关联研究奠定基础，结合清洗技术可解决数据失真、缺失问题</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。与车企深度合作是获取精准一手数据的重要途径</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_Ref6635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[7]</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_Ref6240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，崔想</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_Ref6635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[7]</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通过合作获取的销售与盈利数据让研究更贴合实际；冯秀秀</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_Ref6240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也强调，合作获取客户数据是优化新能源汽车营销策略的关键。</w:t>
            </w:r>
          </w:p>
          <w:p w14:paraId="018A80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综合考量，本次研究选取和鲸社区公共数据集，其来源可靠、规范，契合高小杰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、HuangS等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的数据集选取原则。</w:t>
            </w:r>
          </w:p>
          <w:p w14:paraId="4D1F21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（2）数据预处理技术</w:t>
            </w:r>
          </w:p>
          <w:p w14:paraId="40508F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数据预处理包含清洗、转换、集成等操作，核心是提升数据质量</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。数据清洗通过剔除缺失值、异常值保障数据有效性</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剔除客户偏好缺失数据与异常销量记录，HuangS等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清洗技术配置与销量数据，均提升了研究可信度。</w:t>
            </w:r>
          </w:p>
          <w:p w14:paraId="5CD8EB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数据转换常用标准化、归一化方法统一尺度，消除分析偏差</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，可规避不同价格、续航车型销量分析中的指标尺度差异影响。数据集成整合多源数据形成统一数据集</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_Ref6234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，刘柯</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_Ref6234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将电动汽车销售、地区人口、交通数据集成，为充电站投资决策模型提供了完整支撑。</w:t>
            </w:r>
          </w:p>
          <w:p w14:paraId="09CE70D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4、</w:t>
            </w:r>
            <w:r>
              <w:rPr>
                <w:rFonts w:hint="eastAsia" w:ascii="Times New Roman" w:hAnsi="Times New Roman" w:eastAsia="宋体" w:cs="Times New Roman"/>
                <w:sz w:val="24"/>
              </w:rPr>
              <w:t>大数据技术操作流程相关研究</w:t>
            </w:r>
          </w:p>
          <w:p w14:paraId="13EE1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（1）数据导入与存储</w:t>
            </w:r>
          </w:p>
          <w:p w14:paraId="699759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数据导入可通过SHELL脚本实现自动化，结合Datax工具保障多数据源传输的完整性与一致性</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。HDFS凭借高容错性、高吞吐量成为海量销售数据的优选存储平台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将多渠道数据存储于HDFS实现快速调取处理；HuangS等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采用分布式存储，保障了大规模数据的存储安全与访问效率。高效导入与分布式存储是跨区域、跨年度销售趋势深度分析的基础，可破解传统存储的效率瓶颈</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w:t>
            </w:r>
          </w:p>
          <w:p w14:paraId="6D057E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（2）数据处理与分析</w:t>
            </w:r>
          </w:p>
          <w:p w14:paraId="6B7D72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数据处理与分析是大数据技术的核心环节</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_Ref6234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。在Hive中构建数据仓库，可完成数据清洗、聚合等操作并提炼关键信息</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通过仓库多维度数据聚合，挖掘出区域、年龄段客户的购车偏好，还可基于仓库数据计算月度销售趋势等衍生指标。</w:t>
            </w:r>
          </w:p>
          <w:p w14:paraId="57CE8F9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深度分析中，结合复杂查询与算法模型可充分挖掘数据价值</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_Ref6234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。刘柯</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_Ref6234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处理销售数据生成保有量增长率、充电需求等指标，为充电站投资模型提供关键参数；HuangS等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通过回归模型分析技术配置与销量的关联，精准定位影响销量的关键技术因素，印证了大数据的深度应用价值。</w:t>
            </w:r>
          </w:p>
          <w:p w14:paraId="42118EA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5、</w:t>
            </w:r>
            <w:r>
              <w:rPr>
                <w:rFonts w:hint="eastAsia" w:ascii="Times New Roman" w:hAnsi="Times New Roman" w:eastAsia="宋体" w:cs="Times New Roman"/>
                <w:sz w:val="24"/>
              </w:rPr>
              <w:t>特色数据分析相关研究</w:t>
            </w:r>
          </w:p>
          <w:p w14:paraId="778DF8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（1）销售趋势分析</w:t>
            </w:r>
          </w:p>
          <w:p w14:paraId="1B8910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销售趋势分析是汽车销售数据分析的核心</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_Ref5930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[3]</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，可为企业策略制定提供依据。郭梓云</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_Ref5930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[3]</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指出中国已成为全球电动汽车销售核心市场，为车企海外拓展提供参考；张蓉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结合电动汽车与成品油销量趋势，为成品油企业转型提供支撑。冯秀秀</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_Ref6240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建议企业依据区域需求趋势增设销售网点，提升市场占有率。此外，MishraDR等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_Ref7628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[12]</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提出的混合LSTM-GBRT技术，为电动汽车销量量化预测提供了新方法，增强了策略制定的前瞻性。</w:t>
            </w:r>
          </w:p>
          <w:p w14:paraId="29DF55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（2）客户需求分析</w:t>
            </w:r>
          </w:p>
          <w:p w14:paraId="1B8E721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客户需求分析是挖掘购车偏好与决策因素的关键</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_Ref6240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分析发现，年轻客户关注电动汽车科技配置与外观，中老年客户侧重续航与舒适性，该结论为产品设计提供了精准依据；冯秀秀</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_Ref6240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指出，MG公司因忽视客户群体需求差异，导致产品推荐与客户偏好失配。崔想</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_Ref6635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[7]</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研究表明，基于客户需求提供个性化产品的企业，其复购率与品牌忠诚度显著高于行业平均水平。</w:t>
            </w:r>
          </w:p>
          <w:p w14:paraId="1E7A73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（3）市场竞争分析</w:t>
            </w:r>
          </w:p>
          <w:p w14:paraId="0BC69E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市场竞争分析可帮助企业明晰自身市场地位与优劣势</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_Ref6635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[7]</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_Ref6240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。冯秀秀</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_Ref6240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[10]</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通过对比发现，MG品牌在性价比上具备优势，但品牌知名度与售后服务存在不足；崔想</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_Ref6635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[7]</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指出，企业的竞争优势与盈利模式的适配性密切相关。张琪</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_Ref8017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[9]</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也强调，电动汽车制造商的共享模式选择需结合自身竞争优势，进一步凸显了竞争分析在企业决策中的重要价值。</w:t>
            </w:r>
          </w:p>
          <w:p w14:paraId="5D75DB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6、</w:t>
            </w:r>
            <w:r>
              <w:rPr>
                <w:rFonts w:hint="eastAsia" w:ascii="Times New Roman" w:hAnsi="Times New Roman" w:eastAsia="宋体" w:cs="Times New Roman"/>
                <w:sz w:val="24"/>
              </w:rPr>
              <w:t>可视化设计相关研究</w:t>
            </w:r>
          </w:p>
          <w:p w14:paraId="1B7D13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可视化设计将数据分析结果以直观图表呈现，助力决策者快速把握市场动态</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_Ref8062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[8]</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。选用FineBI制作交互式仪表盘，设计柱状图、饼图等针对性图表并支持多维度筛选，可有效提升展示效果</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。杨文明</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_Ref8062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[8]</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通过多维度可视化图表呈现行业发展场景数据，高小杰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展示不同客户群体的偏好比例与车型关联，均为企业决策提供了清晰的视觉支撑。</w:t>
            </w:r>
          </w:p>
          <w:p w14:paraId="4B86CC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交互性是电动汽车销售数据分析可视化设计的关键</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_Ref8062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[8]</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，多维度筛选功能可大幅提升决策效率。HuangS等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通过可视化图表展示技术配置与销量的关联关系，便于行业研究者快速理解研究核心结论。当前，可视化已成为大数据分析成果落地的关键，唯有将复杂的销售数据与市场趋势直观呈现，才能真正为企业决策提供有效支撑</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_Ref8062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[8]</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w:t>
            </w:r>
          </w:p>
          <w:p w14:paraId="3107B01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sz w:val="24"/>
              </w:rPr>
            </w:pPr>
            <w:r>
              <w:rPr>
                <w:rFonts w:hint="eastAsia" w:cs="Times New Roman"/>
                <w:sz w:val="24"/>
                <w:lang w:val="en-US" w:eastAsia="zh-CN"/>
              </w:rPr>
              <w:t>7</w:t>
            </w:r>
            <w:r>
              <w:rPr>
                <w:rFonts w:hint="eastAsia" w:ascii="Times New Roman" w:hAnsi="Times New Roman" w:eastAsia="宋体" w:cs="Times New Roman"/>
                <w:sz w:val="24"/>
                <w:lang w:val="en-US" w:eastAsia="zh-CN"/>
              </w:rPr>
              <w:t>、</w:t>
            </w:r>
            <w:r>
              <w:rPr>
                <w:rFonts w:hint="eastAsia" w:ascii="Times New Roman" w:hAnsi="Times New Roman" w:eastAsia="宋体" w:cs="Times New Roman"/>
                <w:sz w:val="24"/>
              </w:rPr>
              <w:t>结论</w:t>
            </w:r>
          </w:p>
          <w:p w14:paraId="63738A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基于大数据的汽车销售数据深度分析与可视化具备技术可行性与管理价值，可为企业决策提供有力支撑</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。张蓉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、HuangS等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的研究，从行业趋势研判、市场偏好挖掘、技术配置与销量关联等角度，印证了大数据技术在电动汽车销售领域的应用价值；赵明奎等</w:t>
            </w:r>
            <w:r>
              <w:rPr>
                <w:rFonts w:hint="eastAsia" w:ascii="Times New Roman" w:hAnsi="Times New Roman" w:eastAsia="宋体" w:cs="Times New Roman"/>
                <w:sz w:val="24"/>
                <w:lang w:val="en-US" w:eastAsia="zh-CN"/>
              </w:rPr>
              <w:fldChar w:fldCharType="begin"/>
            </w:r>
            <w:r>
              <w:rPr>
                <w:rFonts w:hint="eastAsia" w:ascii="Times New Roman" w:hAnsi="Times New Roman" w:eastAsia="宋体" w:cs="Times New Roman"/>
                <w:sz w:val="24"/>
                <w:lang w:val="en-US" w:eastAsia="zh-CN"/>
              </w:rPr>
              <w:instrText xml:space="preserve"> REF _Ref6371 \w \h </w:instrText>
            </w:r>
            <w:r>
              <w:rPr>
                <w:rFonts w:hint="eastAsia" w:ascii="Times New Roman" w:hAnsi="Times New Roman" w:eastAsia="宋体" w:cs="Times New Roman"/>
                <w:sz w:val="24"/>
                <w:lang w:val="en-US" w:eastAsia="zh-CN"/>
              </w:rPr>
              <w:fldChar w:fldCharType="separate"/>
            </w:r>
            <w:r>
              <w:rPr>
                <w:rFonts w:hint="eastAsia" w:ascii="Times New Roman" w:hAnsi="Times New Roman" w:eastAsia="宋体" w:cs="Times New Roman"/>
                <w:sz w:val="24"/>
                <w:vertAlign w:val="superscript"/>
                <w:lang w:val="en-US" w:eastAsia="zh-CN"/>
              </w:rPr>
              <w:t>[2]</w:t>
            </w:r>
            <w:r>
              <w:rPr>
                <w:rFonts w:hint="eastAsia" w:ascii="Times New Roman" w:hAnsi="Times New Roman" w:eastAsia="宋体" w:cs="Times New Roman"/>
                <w:sz w:val="24"/>
                <w:lang w:val="en-US" w:eastAsia="zh-CN"/>
              </w:rPr>
              <w:fldChar w:fldCharType="end"/>
            </w:r>
            <w:r>
              <w:rPr>
                <w:rFonts w:hint="eastAsia" w:ascii="Times New Roman" w:hAnsi="Times New Roman" w:eastAsia="宋体" w:cs="Times New Roman"/>
                <w:sz w:val="24"/>
                <w:lang w:val="en-US" w:eastAsia="zh-CN"/>
              </w:rPr>
              <w:t>、刘柯</w:t>
            </w:r>
            <w:r>
              <w:rPr>
                <w:rFonts w:hint="eastAsia" w:ascii="Times New Roman" w:hAnsi="Times New Roman" w:eastAsia="宋体" w:cs="Times New Roman"/>
                <w:sz w:val="24"/>
                <w:lang w:val="en-US" w:eastAsia="zh-CN"/>
              </w:rPr>
              <w:fldChar w:fldCharType="begin"/>
            </w:r>
            <w:r>
              <w:rPr>
                <w:rFonts w:hint="eastAsia" w:ascii="Times New Roman" w:hAnsi="Times New Roman" w:eastAsia="宋体" w:cs="Times New Roman"/>
                <w:sz w:val="24"/>
                <w:lang w:val="en-US" w:eastAsia="zh-CN"/>
              </w:rPr>
              <w:instrText xml:space="preserve"> REF _Ref6234 \w \h </w:instrText>
            </w:r>
            <w:r>
              <w:rPr>
                <w:rFonts w:hint="eastAsia" w:ascii="Times New Roman" w:hAnsi="Times New Roman" w:eastAsia="宋体" w:cs="Times New Roman"/>
                <w:sz w:val="24"/>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lang w:val="en-US" w:eastAsia="zh-CN"/>
              </w:rPr>
              <w:fldChar w:fldCharType="end"/>
            </w:r>
            <w:r>
              <w:rPr>
                <w:rFonts w:hint="eastAsia" w:ascii="Times New Roman" w:hAnsi="Times New Roman" w:eastAsia="宋体" w:cs="Times New Roman"/>
                <w:sz w:val="24"/>
                <w:lang w:val="en-US" w:eastAsia="zh-CN"/>
              </w:rPr>
              <w:t>的研究则从产业配套角度，体现了大数据分析对汽车销售上下游产业决策的支撑作用。</w:t>
            </w:r>
          </w:p>
          <w:p w14:paraId="3EA513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lang w:val="en-US" w:eastAsia="zh-CN"/>
              </w:rPr>
              <w:t>但目前该领域研究仍存在明显不足，数据获取渠道受限、分析方法单一、可视化设计体验不佳等问题，制约了大数据技术在汽车销售行业的深度落地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_Ref6371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[2]</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。本课题立足于汽车销售行业的实际需求，依托主流大数据技术栈，选取权威公共数据集开展研究，既契合高小杰</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_Ref20142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[5]</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、HuangS等</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_Ref20188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的数据集选取原则，又针对现有研究不足进行针对性优化，具有明确的应用价值与良好的实施基础。研究成果有望为汽车销售企业提供高效的数据分析与可视化解决方案，同时为成品油企业转型</w:t>
            </w:r>
            <w:r>
              <w:rPr>
                <w:rFonts w:hint="eastAsia" w:ascii="Times New Roman" w:hAnsi="Times New Roman" w:eastAsia="宋体" w:cs="Times New Roman"/>
                <w:sz w:val="24"/>
                <w:vertAlign w:val="superscript"/>
                <w:lang w:val="en-US" w:eastAsia="zh-CN"/>
              </w:rPr>
              <w:fldChar w:fldCharType="begin"/>
            </w:r>
            <w:r>
              <w:rPr>
                <w:rFonts w:hint="eastAsia" w:ascii="Times New Roman" w:hAnsi="Times New Roman" w:eastAsia="宋体" w:cs="Times New Roman"/>
                <w:sz w:val="24"/>
                <w:vertAlign w:val="superscript"/>
                <w:lang w:val="en-US" w:eastAsia="zh-CN"/>
              </w:rPr>
              <w:instrText xml:space="preserve"> REF _Ref19858 \w \h </w:instrText>
            </w:r>
            <w:r>
              <w:rPr>
                <w:rFonts w:hint="eastAsia" w:ascii="Times New Roman" w:hAnsi="Times New Roman" w:eastAsia="宋体" w:cs="Times New Roman"/>
                <w:sz w:val="24"/>
                <w:vertAlign w:val="superscript"/>
                <w:lang w:val="en-US" w:eastAsia="zh-CN"/>
              </w:rPr>
              <w:fldChar w:fldCharType="separate"/>
            </w:r>
            <w:r>
              <w:rPr>
                <w:rFonts w:hint="eastAsia" w:ascii="Times New Roman" w:hAnsi="Times New Roman" w:eastAsia="宋体" w:cs="Times New Roman"/>
                <w:sz w:val="24"/>
                <w:vertAlign w:val="superscript"/>
                <w:lang w:val="en-US" w:eastAsia="zh-CN"/>
              </w:rPr>
              <w:t>[1]</w:t>
            </w:r>
            <w:r>
              <w:rPr>
                <w:rFonts w:hint="eastAsia" w:ascii="Times New Roman" w:hAnsi="Times New Roman" w:eastAsia="宋体" w:cs="Times New Roman"/>
                <w:sz w:val="24"/>
                <w:vertAlign w:val="superscript"/>
                <w:lang w:val="en-US" w:eastAsia="zh-CN"/>
              </w:rPr>
              <w:fldChar w:fldCharType="end"/>
            </w:r>
            <w:r>
              <w:rPr>
                <w:rFonts w:hint="eastAsia" w:ascii="Times New Roman" w:hAnsi="Times New Roman" w:eastAsia="宋体" w:cs="Times New Roman"/>
                <w:sz w:val="24"/>
                <w:lang w:val="en-US" w:eastAsia="zh-CN"/>
              </w:rPr>
              <w:t>、充电站投资建设</w:t>
            </w:r>
            <w:r>
              <w:rPr>
                <w:rFonts w:hint="eastAsia" w:ascii="Times New Roman" w:hAnsi="Times New Roman" w:eastAsia="宋体" w:cs="Times New Roman"/>
                <w:sz w:val="24"/>
                <w:lang w:val="en-US" w:eastAsia="zh-CN"/>
              </w:rPr>
              <w:fldChar w:fldCharType="begin"/>
            </w:r>
            <w:r>
              <w:rPr>
                <w:rFonts w:hint="eastAsia" w:ascii="Times New Roman" w:hAnsi="Times New Roman" w:eastAsia="宋体" w:cs="Times New Roman"/>
                <w:sz w:val="24"/>
                <w:lang w:val="en-US" w:eastAsia="zh-CN"/>
              </w:rPr>
              <w:instrText xml:space="preserve"> REF _Ref6371 \w \h </w:instrText>
            </w:r>
            <w:r>
              <w:rPr>
                <w:rFonts w:hint="eastAsia" w:ascii="Times New Roman" w:hAnsi="Times New Roman" w:eastAsia="宋体" w:cs="Times New Roman"/>
                <w:sz w:val="24"/>
                <w:lang w:val="en-US" w:eastAsia="zh-CN"/>
              </w:rPr>
              <w:fldChar w:fldCharType="separate"/>
            </w:r>
            <w:r>
              <w:rPr>
                <w:rFonts w:hint="eastAsia" w:ascii="Times New Roman" w:hAnsi="Times New Roman" w:eastAsia="宋体" w:cs="Times New Roman"/>
                <w:sz w:val="24"/>
                <w:vertAlign w:val="superscript"/>
                <w:lang w:val="en-US" w:eastAsia="zh-CN"/>
              </w:rPr>
              <w:t>[2]</w:t>
            </w:r>
            <w:r>
              <w:rPr>
                <w:rFonts w:hint="eastAsia" w:ascii="Times New Roman" w:hAnsi="Times New Roman" w:eastAsia="宋体" w:cs="Times New Roman"/>
                <w:sz w:val="24"/>
                <w:lang w:val="en-US" w:eastAsia="zh-CN"/>
              </w:rPr>
              <w:fldChar w:fldCharType="end"/>
            </w:r>
            <w:r>
              <w:rPr>
                <w:rFonts w:hint="eastAsia" w:ascii="Times New Roman" w:hAnsi="Times New Roman" w:eastAsia="宋体" w:cs="Times New Roman"/>
                <w:sz w:val="24"/>
                <w:lang w:val="en-US" w:eastAsia="zh-CN"/>
              </w:rPr>
              <w:fldChar w:fldCharType="begin"/>
            </w:r>
            <w:r>
              <w:rPr>
                <w:rFonts w:hint="eastAsia" w:ascii="Times New Roman" w:hAnsi="Times New Roman" w:eastAsia="宋体" w:cs="Times New Roman"/>
                <w:sz w:val="24"/>
                <w:lang w:val="en-US" w:eastAsia="zh-CN"/>
              </w:rPr>
              <w:instrText xml:space="preserve"> REF _Ref6234 \w \h </w:instrText>
            </w:r>
            <w:r>
              <w:rPr>
                <w:rFonts w:hint="eastAsia" w:ascii="Times New Roman" w:hAnsi="Times New Roman" w:eastAsia="宋体" w:cs="Times New Roman"/>
                <w:sz w:val="24"/>
                <w:lang w:val="en-US" w:eastAsia="zh-CN"/>
              </w:rPr>
              <w:fldChar w:fldCharType="separate"/>
            </w:r>
            <w:r>
              <w:rPr>
                <w:rFonts w:hint="eastAsia" w:ascii="Times New Roman" w:hAnsi="Times New Roman" w:eastAsia="宋体" w:cs="Times New Roman"/>
                <w:sz w:val="24"/>
                <w:vertAlign w:val="superscript"/>
                <w:lang w:val="en-US" w:eastAsia="zh-CN"/>
              </w:rPr>
              <w:t>[6]</w:t>
            </w:r>
            <w:r>
              <w:rPr>
                <w:rFonts w:hint="eastAsia" w:ascii="Times New Roman" w:hAnsi="Times New Roman" w:eastAsia="宋体" w:cs="Times New Roman"/>
                <w:sz w:val="24"/>
                <w:lang w:val="en-US" w:eastAsia="zh-CN"/>
              </w:rPr>
              <w:fldChar w:fldCharType="end"/>
            </w:r>
            <w:r>
              <w:rPr>
                <w:rFonts w:hint="eastAsia" w:ascii="Times New Roman" w:hAnsi="Times New Roman" w:eastAsia="宋体" w:cs="Times New Roman"/>
                <w:sz w:val="24"/>
                <w:lang w:val="en-US" w:eastAsia="zh-CN"/>
              </w:rPr>
              <w:t>等汽车销售上下游产业决策提供数据支撑。</w:t>
            </w:r>
          </w:p>
          <w:p w14:paraId="5E4929C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rPr>
            </w:pPr>
            <w:r>
              <w:rPr>
                <w:rFonts w:hint="eastAsia" w:cs="Times New Roman"/>
                <w:sz w:val="24"/>
                <w:lang w:val="en-US" w:eastAsia="zh-CN"/>
              </w:rPr>
              <w:t>8</w:t>
            </w:r>
            <w:r>
              <w:rPr>
                <w:rFonts w:hint="default" w:ascii="Times New Roman" w:hAnsi="Times New Roman" w:eastAsia="宋体" w:cs="Times New Roman"/>
                <w:sz w:val="24"/>
              </w:rPr>
              <w:t>、参考文献</w:t>
            </w:r>
          </w:p>
          <w:p w14:paraId="0D9F1081">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0" w:name="_Ref19858"/>
            <w:r>
              <w:rPr>
                <w:rFonts w:hint="default" w:ascii="Times New Roman" w:hAnsi="Times New Roman" w:eastAsia="宋体" w:cs="Times New Roman"/>
                <w:kern w:val="2"/>
                <w:sz w:val="24"/>
                <w:szCs w:val="24"/>
                <w:lang w:val="en-US" w:eastAsia="zh-CN" w:bidi="ar-SA"/>
              </w:rPr>
              <w:t>[1]</w:t>
            </w:r>
            <w:r>
              <w:rPr>
                <w:rFonts w:hint="default" w:ascii="Times New Roman" w:hAnsi="Times New Roman" w:eastAsia="宋体" w:cs="Times New Roman"/>
                <w:sz w:val="24"/>
              </w:rPr>
              <w:t>张蓉.电动汽车及车电销售“快增”态势对成品油销售的影响及对策[J].石油商技,2025,43(05):90-94.</w:t>
            </w:r>
            <w:bookmarkEnd w:id="0"/>
          </w:p>
          <w:p w14:paraId="112EF78E">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1" w:name="_Ref6371"/>
            <w:r>
              <w:rPr>
                <w:rFonts w:hint="default" w:ascii="Times New Roman" w:hAnsi="Times New Roman" w:eastAsia="宋体" w:cs="Times New Roman"/>
                <w:kern w:val="2"/>
                <w:sz w:val="24"/>
                <w:szCs w:val="24"/>
                <w:lang w:val="en-US" w:eastAsia="zh-CN" w:bidi="ar-SA"/>
              </w:rPr>
              <w:t>[2]</w:t>
            </w:r>
            <w:r>
              <w:rPr>
                <w:rFonts w:hint="default" w:ascii="Times New Roman" w:hAnsi="Times New Roman" w:eastAsia="宋体" w:cs="Times New Roman"/>
                <w:sz w:val="24"/>
              </w:rPr>
              <w:t>赵明奎,万波,孙彬,等.成品油销售企业电动汽车充电站低成本建设研究[J].车用能源储运销技术,2024,2(05):63-69.</w:t>
            </w:r>
            <w:bookmarkEnd w:id="1"/>
          </w:p>
          <w:p w14:paraId="7A69DB6C">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2" w:name="_Ref5930"/>
            <w:r>
              <w:rPr>
                <w:rFonts w:hint="default" w:ascii="Times New Roman" w:hAnsi="Times New Roman" w:eastAsia="宋体" w:cs="Times New Roman"/>
                <w:kern w:val="2"/>
                <w:sz w:val="24"/>
                <w:szCs w:val="24"/>
                <w:lang w:val="en-US" w:eastAsia="zh-CN" w:bidi="ar-SA"/>
              </w:rPr>
              <w:t>[3]</w:t>
            </w:r>
            <w:r>
              <w:rPr>
                <w:rFonts w:hint="default" w:ascii="Times New Roman" w:hAnsi="Times New Roman" w:eastAsia="宋体" w:cs="Times New Roman"/>
                <w:sz w:val="24"/>
              </w:rPr>
              <w:t>郭梓云.全球电动汽车市场持续扩大[N].人民日报,2024-10-17(018).</w:t>
            </w:r>
            <w:bookmarkEnd w:id="2"/>
          </w:p>
          <w:p w14:paraId="30DF795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3" w:name="_Ref5943"/>
            <w:r>
              <w:rPr>
                <w:rFonts w:hint="default" w:ascii="Times New Roman" w:hAnsi="Times New Roman" w:eastAsia="宋体" w:cs="Times New Roman"/>
                <w:kern w:val="2"/>
                <w:sz w:val="24"/>
                <w:szCs w:val="24"/>
                <w:lang w:val="en-US" w:eastAsia="zh-CN" w:bidi="ar-SA"/>
              </w:rPr>
              <w:t>[4]</w:t>
            </w:r>
            <w:r>
              <w:rPr>
                <w:rFonts w:hint="default" w:ascii="Times New Roman" w:hAnsi="Times New Roman" w:eastAsia="宋体" w:cs="Times New Roman"/>
                <w:sz w:val="24"/>
              </w:rPr>
              <w:t>本刊.1-11月,我国新能源汽车销售830.4万辆,同比增长36.74%[J].商用汽车,2023,(06):7.</w:t>
            </w:r>
            <w:bookmarkEnd w:id="3"/>
          </w:p>
          <w:p w14:paraId="26F6258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4" w:name="_Ref20142"/>
            <w:r>
              <w:rPr>
                <w:rFonts w:hint="default" w:ascii="Times New Roman" w:hAnsi="Times New Roman" w:eastAsia="宋体" w:cs="Times New Roman"/>
                <w:kern w:val="2"/>
                <w:sz w:val="24"/>
                <w:szCs w:val="24"/>
                <w:lang w:val="en-US" w:eastAsia="zh-CN" w:bidi="ar-SA"/>
              </w:rPr>
              <w:t>[5]</w:t>
            </w:r>
            <w:r>
              <w:rPr>
                <w:rFonts w:hint="default" w:ascii="Times New Roman" w:hAnsi="Times New Roman" w:eastAsia="宋体" w:cs="Times New Roman"/>
                <w:sz w:val="24"/>
              </w:rPr>
              <w:t>高小杰.基于销售大数据的电动汽车市场偏好信息挖掘及适应性设计智能决策[D].广东工业大学,2023.</w:t>
            </w:r>
            <w:bookmarkEnd w:id="4"/>
          </w:p>
          <w:p w14:paraId="016E7A59">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5" w:name="_Ref6234"/>
            <w:r>
              <w:rPr>
                <w:rFonts w:hint="default" w:ascii="Times New Roman" w:hAnsi="Times New Roman" w:eastAsia="宋体" w:cs="Times New Roman"/>
                <w:kern w:val="2"/>
                <w:sz w:val="24"/>
                <w:szCs w:val="24"/>
                <w:lang w:val="en-US" w:eastAsia="zh-CN" w:bidi="ar-SA"/>
              </w:rPr>
              <w:t>[6]</w:t>
            </w:r>
            <w:r>
              <w:rPr>
                <w:rFonts w:hint="default" w:ascii="Times New Roman" w:hAnsi="Times New Roman" w:eastAsia="宋体" w:cs="Times New Roman"/>
                <w:sz w:val="24"/>
              </w:rPr>
              <w:t>刘柯.不同电动汽车市场结构下政府补贴策略及充电站投资决策研究[D].西南交通大学,2023.</w:t>
            </w:r>
            <w:bookmarkEnd w:id="5"/>
          </w:p>
          <w:p w14:paraId="560EA7F4">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6" w:name="_Ref6635"/>
            <w:r>
              <w:rPr>
                <w:rFonts w:hint="default" w:ascii="Times New Roman" w:hAnsi="Times New Roman" w:eastAsia="宋体" w:cs="Times New Roman"/>
                <w:kern w:val="2"/>
                <w:sz w:val="24"/>
                <w:szCs w:val="24"/>
                <w:lang w:val="en-US" w:eastAsia="zh-CN" w:bidi="ar-SA"/>
              </w:rPr>
              <w:t>[7]</w:t>
            </w:r>
            <w:r>
              <w:rPr>
                <w:rFonts w:hint="default" w:ascii="Times New Roman" w:hAnsi="Times New Roman" w:eastAsia="宋体" w:cs="Times New Roman"/>
                <w:sz w:val="24"/>
              </w:rPr>
              <w:t>崔想.新能源汽车企业盈利模式比较研究[D].长江大学,2023.</w:t>
            </w:r>
            <w:bookmarkEnd w:id="6"/>
          </w:p>
          <w:p w14:paraId="67F01A57">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7" w:name="_Ref8062"/>
            <w:r>
              <w:rPr>
                <w:rFonts w:hint="default" w:ascii="Times New Roman" w:hAnsi="Times New Roman" w:eastAsia="宋体" w:cs="Times New Roman"/>
                <w:kern w:val="2"/>
                <w:sz w:val="24"/>
                <w:szCs w:val="24"/>
                <w:lang w:val="en-US" w:eastAsia="zh-CN" w:bidi="ar-SA"/>
              </w:rPr>
              <w:t>[8]</w:t>
            </w:r>
            <w:r>
              <w:rPr>
                <w:rFonts w:hint="default" w:ascii="Times New Roman" w:hAnsi="Times New Roman" w:eastAsia="宋体" w:cs="Times New Roman"/>
                <w:sz w:val="24"/>
              </w:rPr>
              <w:t>杨文明.智能电动汽车视域下汽车销售和售后服务行业不同未来状态下的业务能力分析（一）[J].汽车维护与修理,2022,(17):1-9.</w:t>
            </w:r>
            <w:bookmarkEnd w:id="7"/>
          </w:p>
          <w:p w14:paraId="451E3337">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8" w:name="_Ref8017"/>
            <w:r>
              <w:rPr>
                <w:rFonts w:hint="default" w:ascii="Times New Roman" w:hAnsi="Times New Roman" w:eastAsia="宋体" w:cs="Times New Roman"/>
                <w:kern w:val="2"/>
                <w:sz w:val="24"/>
                <w:szCs w:val="24"/>
                <w:lang w:val="en-US" w:eastAsia="zh-CN" w:bidi="ar-SA"/>
              </w:rPr>
              <w:t>[9]</w:t>
            </w:r>
            <w:r>
              <w:rPr>
                <w:rFonts w:hint="default" w:ascii="Times New Roman" w:hAnsi="Times New Roman" w:eastAsia="宋体" w:cs="Times New Roman"/>
                <w:sz w:val="24"/>
              </w:rPr>
              <w:t>张琪.不同补贴政策下电动汽车制造商的共享模式选择策略研究[D].东北大学,2022.</w:t>
            </w:r>
            <w:bookmarkEnd w:id="8"/>
          </w:p>
          <w:p w14:paraId="250E5065">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9" w:name="_Ref6240"/>
            <w:r>
              <w:rPr>
                <w:rFonts w:hint="default" w:ascii="Times New Roman" w:hAnsi="Times New Roman" w:eastAsia="宋体" w:cs="Times New Roman"/>
                <w:kern w:val="2"/>
                <w:sz w:val="24"/>
                <w:szCs w:val="24"/>
                <w:lang w:val="en-US" w:eastAsia="zh-CN" w:bidi="ar-SA"/>
              </w:rPr>
              <w:t>[10]</w:t>
            </w:r>
            <w:r>
              <w:rPr>
                <w:rFonts w:hint="default" w:ascii="Times New Roman" w:hAnsi="Times New Roman" w:eastAsia="宋体" w:cs="Times New Roman"/>
                <w:sz w:val="24"/>
              </w:rPr>
              <w:t>冯秀秀.MG公司新能源汽车营销策略研究[D].东北农业大学,2022.</w:t>
            </w:r>
            <w:bookmarkEnd w:id="9"/>
          </w:p>
          <w:p w14:paraId="4E53D699">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default" w:ascii="Times New Roman" w:hAnsi="Times New Roman" w:eastAsia="宋体" w:cs="Times New Roman"/>
                <w:sz w:val="24"/>
              </w:rPr>
            </w:pPr>
            <w:bookmarkStart w:id="10" w:name="_Ref20188"/>
            <w:r>
              <w:rPr>
                <w:rFonts w:hint="default" w:ascii="Times New Roman" w:hAnsi="Times New Roman" w:eastAsia="宋体" w:cs="Times New Roman"/>
                <w:kern w:val="2"/>
                <w:sz w:val="24"/>
                <w:szCs w:val="24"/>
                <w:lang w:val="en-US" w:eastAsia="zh-CN" w:bidi="ar-SA"/>
              </w:rPr>
              <w:t>[11]</w:t>
            </w:r>
            <w:r>
              <w:rPr>
                <w:rFonts w:hint="default" w:ascii="Times New Roman" w:hAnsi="Times New Roman" w:eastAsia="宋体" w:cs="Times New Roman"/>
                <w:sz w:val="24"/>
              </w:rPr>
              <w:t>HuangS,LiY,XiZ.AnEmpiricalStudyontheImpactofKeyTechnologyConfigurationsonSalesofBatteryElectricVehicles:EvidencefromtheChineseMarket[J].WorldElectricVehicleJournal,2025,16(9):522-522.</w:t>
            </w:r>
            <w:bookmarkEnd w:id="10"/>
          </w:p>
          <w:p w14:paraId="4D5BF248">
            <w:pPr>
              <w:keepNext w:val="0"/>
              <w:keepLines w:val="0"/>
              <w:pageBreakBefore w:val="0"/>
              <w:widowControl w:val="0"/>
              <w:numPr>
                <w:ilvl w:val="0"/>
                <w:numId w:val="0"/>
              </w:numPr>
              <w:kinsoku/>
              <w:wordWrap w:val="0"/>
              <w:overflowPunct/>
              <w:topLinePunct w:val="0"/>
              <w:autoSpaceDE w:val="0"/>
              <w:autoSpaceDN w:val="0"/>
              <w:bidi w:val="0"/>
              <w:adjustRightInd/>
              <w:snapToGrid/>
              <w:spacing w:line="360" w:lineRule="auto"/>
              <w:ind w:left="425" w:leftChars="0" w:hanging="425" w:firstLineChars="0"/>
              <w:textAlignment w:val="auto"/>
              <w:rPr>
                <w:rFonts w:hint="eastAsia" w:ascii="Times New Roman" w:hAnsi="Times New Roman"/>
                <w:sz w:val="24"/>
              </w:rPr>
            </w:pPr>
            <w:bookmarkStart w:id="11" w:name="_Ref7628"/>
            <w:r>
              <w:rPr>
                <w:rFonts w:hint="default" w:ascii="Times New Roman" w:hAnsi="Times New Roman" w:eastAsia="宋体" w:cs="Times New Roman"/>
                <w:kern w:val="2"/>
                <w:sz w:val="24"/>
                <w:szCs w:val="24"/>
                <w:lang w:val="en-US" w:eastAsia="zh-CN" w:bidi="ar-SA"/>
              </w:rPr>
              <w:t>[12]</w:t>
            </w:r>
            <w:r>
              <w:rPr>
                <w:rFonts w:hint="default" w:ascii="Times New Roman" w:hAnsi="Times New Roman" w:eastAsia="宋体" w:cs="Times New Roman"/>
                <w:sz w:val="24"/>
              </w:rPr>
              <w:t>MishraDR,DashKS,ChudjuarjeenS,etal.HybridLSTM-GBRTbasedmachinelearningtechniqueimplementationforelectricvehiclesalespredictionanalysis[J].InternationalJournalofSustainableEngineering,2024,17(1):843-858.</w:t>
            </w:r>
            <w:bookmarkEnd w:id="11"/>
          </w:p>
        </w:tc>
      </w:tr>
      <w:tr w14:paraId="15DDD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14024" w:hRule="atLeast"/>
          <w:jc w:val="center"/>
        </w:trPr>
        <w:tc>
          <w:tcPr>
            <w:tcW w:w="8779" w:type="dxa"/>
            <w:gridSpan w:val="2"/>
          </w:tcPr>
          <w:p w14:paraId="2DFA989F">
            <w:pPr>
              <w:spacing w:line="360" w:lineRule="auto"/>
              <w:rPr>
                <w:rFonts w:hint="eastAsia" w:ascii="Times New Roman" w:hAnsi="Times New Roman" w:eastAsiaTheme="minorEastAsia" w:cstheme="minorEastAsia"/>
                <w:sz w:val="24"/>
              </w:rPr>
            </w:pPr>
            <w:r>
              <w:rPr>
                <w:rFonts w:hint="eastAsia" w:ascii="Times New Roman" w:hAnsi="Times New Roman" w:eastAsiaTheme="minorEastAsia" w:cstheme="minorEastAsia"/>
                <w:sz w:val="24"/>
              </w:rPr>
              <w:t>三、主要研究（设计）内容、研究（设计）方案、关键问题及难点</w:t>
            </w:r>
          </w:p>
          <w:p w14:paraId="15FF12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主要</w:t>
            </w:r>
            <w:r>
              <w:rPr>
                <w:rFonts w:hint="default" w:ascii="Times New Roman" w:hAnsi="Times New Roman" w:eastAsia="宋体" w:cs="Times New Roman"/>
                <w:sz w:val="24"/>
              </w:rPr>
              <w:t>研究（设计）内容</w:t>
            </w:r>
          </w:p>
          <w:p w14:paraId="07FF12A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1、数据采集与预处理：</w:t>
            </w:r>
          </w:p>
          <w:p w14:paraId="0D1EC2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（1）数据来源：利用权威公共数据集，涵盖电动汽车销售、客户信息、市场趋势、竞争对手分析等多方面数据，包含“电动汽车品牌”“电动汽车销量”“用户年龄”“市场份额”等核心字段。</w:t>
            </w:r>
          </w:p>
          <w:p w14:paraId="2E19B1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（2）数据采集：通过编写SHELL脚本和使用Datax工具，实现数据的自动化采集与高效传输，确保数据的完整性和一致性。</w:t>
            </w:r>
          </w:p>
          <w:p w14:paraId="03D3D4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（3）数据预处理：对采集到的数据进行清洗、转换和聚合，去除缺失值和异常值，为后续分析提供高质量的数据基础。</w:t>
            </w:r>
          </w:p>
          <w:p w14:paraId="1A5DB2F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2、大数据技术操作实施：</w:t>
            </w:r>
          </w:p>
          <w:p w14:paraId="5BE89FA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（1）数据存储：将预处理后的数据存储至MySQL数据库进行初步管理，随后利用SHELL脚本和Datax工具将数据导入HDFS，构建分布式存储环境。</w:t>
            </w:r>
          </w:p>
          <w:p w14:paraId="6608DE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（2）数据仓库构建：在Hive中构建数据仓库，设计合理的表结构和索引，涵盖所有核心字段，支持大规模数据的结构化查询和分析。</w:t>
            </w:r>
          </w:p>
          <w:p w14:paraId="12BB34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（3）数据处理与分析：运用Hive进行数据清洗、转换和聚合，提炼关键信息，生成各类衍生指标。</w:t>
            </w:r>
          </w:p>
          <w:p w14:paraId="300BE5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（4）特色数据分析：针对销售趋势、客户需求、市场竞争等核心分析方向，编写复杂查询语句，开展深度分析，并将结果导出至数据库。</w:t>
            </w:r>
          </w:p>
          <w:p w14:paraId="1AB0F7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3、数据可视化展示：</w:t>
            </w:r>
          </w:p>
          <w:p w14:paraId="3211D1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（1）可视化工具选型：选用FineBI工具，设计交互式仪表盘，支持多维度筛选和动态展示。</w:t>
            </w:r>
          </w:p>
          <w:p w14:paraId="4B09E3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（2）图表设计：根据分析需求，设计柱状图、饼图、折线图等多种图表，直观展示销售趋势、客户购车偏好、市场份额变化等关键信息。</w:t>
            </w:r>
          </w:p>
          <w:p w14:paraId="3AE869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（3）交互功能实现：实现城市、时间、车型等多维度筛选功能，提升用户体验和决策支持效果。</w:t>
            </w:r>
          </w:p>
          <w:p w14:paraId="1A997B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4、数据集成与测试：</w:t>
            </w:r>
          </w:p>
          <w:p w14:paraId="05884F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（1）数据集成：将数据采集、存储、处理、分析和可视化等模块集成到一个完整的流程中，实现全流程自动化和智能化。</w:t>
            </w:r>
          </w:p>
          <w:p w14:paraId="5179D1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（2）数据测试：测试指标是否导入完整，有无缺失值，数据是否清洗完成，确保指标数据的完整性，根据测试结果进行优化和调整。</w:t>
            </w:r>
          </w:p>
          <w:p w14:paraId="294B3A6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rPr>
            </w:pPr>
            <w:r>
              <w:rPr>
                <w:rFonts w:hint="default" w:ascii="Times New Roman" w:hAnsi="Times New Roman" w:eastAsia="宋体" w:cs="Times New Roman"/>
                <w:sz w:val="24"/>
              </w:rPr>
              <w:t>研究（设计）方案</w:t>
            </w:r>
          </w:p>
          <w:p w14:paraId="1D487C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1、技术选型：</w:t>
            </w:r>
          </w:p>
          <w:p w14:paraId="478E277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（1）大数据技术：MySQL、Hadoop、Hive、Spark，用于数据存储、处理和分析。</w:t>
            </w:r>
          </w:p>
          <w:p w14:paraId="64241E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（2）数据传输工具：Apache DataX，阿里巴巴开源的高效数据同步工具，支持多种异构数据源之间的数据同步，实现多数据源的高效传输和整合。</w:t>
            </w:r>
          </w:p>
          <w:p w14:paraId="70BF04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（3）可视化工具：FineBI，用于数据可视化与仪表板设计，支持百万级数据量的实时渲染。</w:t>
            </w:r>
          </w:p>
          <w:p w14:paraId="193BD9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（4）开发工具：SecureCRT，用于远程连接和管理服务器。</w:t>
            </w:r>
          </w:p>
          <w:p w14:paraId="330338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2、项目设计与开发：</w:t>
            </w:r>
          </w:p>
          <w:p w14:paraId="282DF6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（1）数据采集层设计：从权威公共数据源采集多方面数据，保障数据来源的多样性与权威性。</w:t>
            </w:r>
          </w:p>
          <w:p w14:paraId="2E26B5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（2）数据存储层设计：先将原始数据存储于数据库，再导入至大数据存储平台，实现数据高效存储与管理。</w:t>
            </w:r>
          </w:p>
          <w:p w14:paraId="524658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（3）数据处理层设计：对数据进行分层处理，生成衍生指标，挖掘数据潜在价值。</w:t>
            </w:r>
          </w:p>
          <w:p w14:paraId="6B9D3B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（4）数据分析层设计：基于核心字段开展特色方向深度分析，并将分析结果回存至数据库。</w:t>
            </w:r>
          </w:p>
          <w:p w14:paraId="68C254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（5）可视化展示层设计：制作交互式仪表盘，直观呈现分析结果，提升数据可读性与决策支持能力。</w:t>
            </w:r>
          </w:p>
          <w:p w14:paraId="25F1C0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3、 技术路线</w:t>
            </w:r>
          </w:p>
          <w:p w14:paraId="4F117D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数据采集层（从多个权威公共数据源获取多方面数据）→数据存储层（数据库存储原始数据→导入至大数据存储平台）→数据处理层（数据分层处理生成衍生指标）→数据分析层（基于核心字段开展特色方向深度分析→结果回存数据库）→可视化展示层（制作交互式仪表盘）。</w:t>
            </w:r>
          </w:p>
          <w:p w14:paraId="0211DFC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rPr>
            </w:pPr>
          </w:p>
          <w:p w14:paraId="6BD0CE4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rPr>
            </w:pPr>
          </w:p>
          <w:p w14:paraId="409DE1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rPr>
            </w:pPr>
            <w:r>
              <w:rPr>
                <w:rFonts w:hint="default" w:ascii="Times New Roman" w:hAnsi="Times New Roman" w:eastAsia="宋体" w:cs="Times New Roman"/>
                <w:sz w:val="24"/>
              </w:rPr>
              <w:t>关键问题及难点</w:t>
            </w:r>
          </w:p>
          <w:p w14:paraId="4E042B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eastAsia" w:ascii="Times New Roman" w:hAnsi="Times New Roman" w:eastAsia="宋体" w:cs="Times New Roman"/>
                <w:sz w:val="24"/>
                <w:lang w:val="en-US" w:eastAsia="zh-CN"/>
              </w:rPr>
              <w:t>1、</w:t>
            </w:r>
            <w:r>
              <w:rPr>
                <w:rFonts w:hint="default" w:ascii="Times New Roman" w:hAnsi="Times New Roman" w:eastAsia="宋体" w:cs="Times New Roman"/>
                <w:sz w:val="24"/>
              </w:rPr>
              <w:t>数据质量与一致性</w:t>
            </w:r>
          </w:p>
          <w:p w14:paraId="20FCF98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问题：数据来源广泛驳杂，不同渠道的数据在格式、标准等方面存在差异，极易出现缺失值、异常值以及重复数据等状况。这些问题会严重干扰数据分析的逻辑与流程，进而降低分析结果的准确性和可靠性，误导决策方向。</w:t>
            </w:r>
          </w:p>
          <w:p w14:paraId="7DE290B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解决办法：设计一套完善且合理的数据清洗和转换流程，涵盖数据缺失值填充、异常值检测与修正、重复数据合并等操作，从源头上保障数据质量。同时，在数据处理全程严格把控数据一致性，建立数据校验机制，防止数据在流转过程中出现丢失或错误。</w:t>
            </w:r>
          </w:p>
          <w:p w14:paraId="6E8F73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eastAsia" w:ascii="Times New Roman" w:hAnsi="Times New Roman" w:eastAsia="宋体" w:cs="Times New Roman"/>
                <w:sz w:val="24"/>
                <w:lang w:val="en-US" w:eastAsia="zh-CN"/>
              </w:rPr>
              <w:t>2、</w:t>
            </w:r>
            <w:r>
              <w:rPr>
                <w:rFonts w:hint="default" w:ascii="Times New Roman" w:hAnsi="Times New Roman" w:eastAsia="宋体" w:cs="Times New Roman"/>
                <w:sz w:val="24"/>
              </w:rPr>
              <w:t>大数据处理性能优化</w:t>
            </w:r>
          </w:p>
          <w:p w14:paraId="562EDF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问题：随着数据规模呈指数级增长，大数据处理框架的性能面临巨大挑战。例如，Hive查询效率低下、Spark计算性能受限等问题逐渐凸显，若不加以解决，系统在高负载环境下极易出现卡顿甚至崩溃，严重影响数据处理进度和业务开展。</w:t>
            </w:r>
          </w:p>
          <w:p w14:paraId="1EA87E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解决办法：运用科学合理的数据分区策略，将大规模数据划分成多个小数据集，减少单次处理的数据量；构建高效的索引结构，加速数据检索速度；合理利用缓存技术，避免重复计算，从而全面提升数据处理速度。此外，通过全面细致的项目测试，精准定位并解决性能瓶颈，确保</w:t>
            </w:r>
            <w:r>
              <w:rPr>
                <w:rFonts w:hint="eastAsia" w:ascii="Times New Roman" w:hAnsi="Times New Roman" w:eastAsia="宋体" w:cs="Times New Roman"/>
                <w:sz w:val="24"/>
                <w:lang w:val="en-US" w:eastAsia="zh-CN"/>
              </w:rPr>
              <w:t>项目</w:t>
            </w:r>
            <w:r>
              <w:rPr>
                <w:rFonts w:hint="default" w:ascii="Times New Roman" w:hAnsi="Times New Roman" w:eastAsia="宋体" w:cs="Times New Roman"/>
                <w:sz w:val="24"/>
              </w:rPr>
              <w:t>稳定运行。</w:t>
            </w:r>
          </w:p>
          <w:p w14:paraId="2C828A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难点</w:t>
            </w:r>
          </w:p>
          <w:p w14:paraId="404F86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eastAsia" w:ascii="Times New Roman" w:hAnsi="Times New Roman" w:eastAsia="宋体" w:cs="Times New Roman"/>
                <w:sz w:val="24"/>
                <w:lang w:val="en-US" w:eastAsia="zh-CN"/>
              </w:rPr>
              <w:t>1、</w:t>
            </w:r>
            <w:r>
              <w:rPr>
                <w:rFonts w:hint="default" w:ascii="Times New Roman" w:hAnsi="Times New Roman" w:eastAsia="宋体" w:cs="Times New Roman"/>
                <w:sz w:val="24"/>
              </w:rPr>
              <w:t>多维度数据分析与可视化</w:t>
            </w:r>
          </w:p>
          <w:p w14:paraId="0E4582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1）销售趋势、客户需求、市场竞争等核心分析方向涉及众多复杂的数据维度和指标。如何设计出精准、高效的查询语句，搭建合理有序的分析流程，以深度挖掘数据背后的潜在规律和价值，成为一大难题。这不仅要求对业务有深刻理解，还需熟练掌握数据分析技术和工具。</w:t>
            </w:r>
          </w:p>
          <w:p w14:paraId="7B8FA4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2）利用可视化工具制作交互式仪表盘时，要充分考虑用户需求和使用体验。如何实现多维度筛选和动态展示功能，使仪表盘能够根据用户的不同操作更新数据和图表；同时确保图表设计科学合理、信息表达清晰直观，能够为决策者提供有力支持，是需要攻克的关键难点。</w:t>
            </w:r>
          </w:p>
          <w:p w14:paraId="7C8C8C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479" w:leftChars="228" w:firstLine="0" w:firstLineChars="0"/>
              <w:textAlignment w:val="auto"/>
              <w:rPr>
                <w:rFonts w:hint="default" w:ascii="Times New Roman" w:hAnsi="Times New Roman" w:eastAsia="宋体" w:cs="Times New Roman"/>
                <w:sz w:val="24"/>
              </w:rPr>
            </w:pPr>
            <w:r>
              <w:rPr>
                <w:rFonts w:hint="eastAsia" w:ascii="Times New Roman" w:hAnsi="Times New Roman" w:eastAsia="宋体" w:cs="Times New Roman"/>
                <w:sz w:val="24"/>
                <w:lang w:val="en-US" w:eastAsia="zh-CN"/>
              </w:rPr>
              <w:t>2、</w:t>
            </w:r>
            <w:r>
              <w:rPr>
                <w:rFonts w:hint="default" w:ascii="Times New Roman" w:hAnsi="Times New Roman" w:eastAsia="宋体" w:cs="Times New Roman"/>
                <w:sz w:val="24"/>
              </w:rPr>
              <w:t>项目稳定性和可扩展性</w:t>
            </w:r>
          </w:p>
          <w:p w14:paraId="087BA5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rPr>
            </w:pPr>
            <w:r>
              <w:rPr>
                <w:rFonts w:hint="default" w:ascii="Times New Roman" w:hAnsi="Times New Roman" w:eastAsia="宋体" w:cs="Times New Roman"/>
                <w:sz w:val="24"/>
              </w:rPr>
              <w:t>项目需具备强大的稳定性和可扩展性，以从容应对未来数据量的持续增长和业务的动态变化。在数据指标设计方面，采用分层架构和模块化设计思想虽是有效途径，但如何合理划分层次和模块，确保各部分之间逻辑清晰、协同高效，避免出现数据混乱和功能冲突，实现数据清晰展示和系统灵活扩展，是项目实施过程中面临的严峻挑战。</w:t>
            </w:r>
          </w:p>
          <w:p w14:paraId="1862ECF2">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sz w:val="24"/>
              </w:rPr>
            </w:pPr>
          </w:p>
        </w:tc>
      </w:tr>
      <w:tr w14:paraId="0C535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243" w:hRule="atLeast"/>
          <w:jc w:val="center"/>
        </w:trPr>
        <w:tc>
          <w:tcPr>
            <w:tcW w:w="8779" w:type="dxa"/>
            <w:gridSpan w:val="2"/>
          </w:tcPr>
          <w:p w14:paraId="185A094F">
            <w:pPr>
              <w:spacing w:line="360" w:lineRule="auto"/>
              <w:ind w:firstLine="108" w:firstLineChars="45"/>
              <w:rPr>
                <w:rFonts w:ascii="Times New Roman" w:hAnsi="Times New Roman" w:cs="宋体"/>
                <w:sz w:val="24"/>
              </w:rPr>
            </w:pPr>
            <w:r>
              <w:rPr>
                <w:rFonts w:hint="eastAsia" w:ascii="Times New Roman" w:hAnsi="Times New Roman" w:cs="宋体"/>
                <w:sz w:val="24"/>
              </w:rPr>
              <w:t>四、毕业设计（论文）的进度计划安排</w:t>
            </w:r>
          </w:p>
          <w:p w14:paraId="038319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rPr>
            </w:pPr>
            <w:bookmarkStart w:id="12" w:name="_GoBack"/>
            <w:r>
              <w:rPr>
                <w:rFonts w:hint="default" w:ascii="Times New Roman" w:hAnsi="Times New Roman" w:eastAsia="宋体" w:cs="宋体"/>
                <w:sz w:val="24"/>
              </w:rPr>
              <w:t>(1)教师和学生共同拟定毕业设计题目（ 2025年11月24日至2025年12月21日）。</w:t>
            </w:r>
          </w:p>
          <w:p w14:paraId="720515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rPr>
            </w:pPr>
            <w:r>
              <w:rPr>
                <w:rFonts w:hint="default" w:ascii="Times New Roman" w:hAnsi="Times New Roman" w:eastAsia="宋体" w:cs="宋体"/>
                <w:sz w:val="24"/>
              </w:rPr>
              <w:t>(2) 导师下达毕业设计任务书、指导书（2025年12月22日至2026年01月04日）。</w:t>
            </w:r>
          </w:p>
          <w:p w14:paraId="0D58CD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rPr>
            </w:pPr>
            <w:r>
              <w:rPr>
                <w:rFonts w:hint="default" w:ascii="Times New Roman" w:hAnsi="Times New Roman" w:eastAsia="宋体" w:cs="宋体"/>
                <w:sz w:val="24"/>
              </w:rPr>
              <w:t>(3) 论文调研，撰写开题报告（2026年01月05日至2026年01月18日）。</w:t>
            </w:r>
          </w:p>
          <w:p w14:paraId="0334A79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rPr>
            </w:pPr>
            <w:r>
              <w:rPr>
                <w:rFonts w:hint="default" w:ascii="Times New Roman" w:hAnsi="Times New Roman" w:eastAsia="宋体" w:cs="宋体"/>
                <w:sz w:val="24"/>
              </w:rPr>
              <w:t>(4)查阅资料，整理资料，撰写论文提纲（ 2026年01月19日至2026年01月25日）。</w:t>
            </w:r>
          </w:p>
          <w:p w14:paraId="4642C7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rPr>
            </w:pPr>
            <w:r>
              <w:rPr>
                <w:rFonts w:hint="default" w:ascii="Times New Roman" w:hAnsi="Times New Roman" w:eastAsia="宋体" w:cs="宋体"/>
                <w:sz w:val="24"/>
              </w:rPr>
              <w:t>(5) 系统实现、功能完善（2026年01月26日至2026年03月08日）。</w:t>
            </w:r>
          </w:p>
          <w:p w14:paraId="42D7B5C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rPr>
            </w:pPr>
            <w:r>
              <w:rPr>
                <w:rFonts w:hint="default" w:ascii="Times New Roman" w:hAnsi="Times New Roman" w:eastAsia="宋体" w:cs="宋体"/>
                <w:sz w:val="24"/>
              </w:rPr>
              <w:t>(6)毕业设计中期检查（ 2026年03月09日至2026年03月17日）。</w:t>
            </w:r>
          </w:p>
          <w:p w14:paraId="52C9DA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rPr>
            </w:pPr>
            <w:r>
              <w:rPr>
                <w:rFonts w:hint="default" w:ascii="Times New Roman" w:hAnsi="Times New Roman" w:eastAsia="宋体" w:cs="宋体"/>
                <w:sz w:val="24"/>
              </w:rPr>
              <w:t>(7) 论文撰写、论文修改、论文审核、查重（2026年03月18日至2026年05月01日）。</w:t>
            </w:r>
          </w:p>
          <w:p w14:paraId="0F522D2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rPr>
            </w:pPr>
            <w:r>
              <w:rPr>
                <w:rFonts w:hint="default" w:ascii="Times New Roman" w:hAnsi="Times New Roman" w:eastAsia="宋体" w:cs="宋体"/>
                <w:sz w:val="24"/>
              </w:rPr>
              <w:t>(8) 终稿（2026年05月02日至2026年05月07日）。</w:t>
            </w:r>
          </w:p>
          <w:p w14:paraId="3E82FE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宋体"/>
                <w:sz w:val="24"/>
              </w:rPr>
            </w:pPr>
            <w:r>
              <w:rPr>
                <w:rFonts w:hint="default" w:ascii="Times New Roman" w:hAnsi="Times New Roman" w:eastAsia="宋体" w:cs="宋体"/>
                <w:sz w:val="24"/>
              </w:rPr>
              <w:t>(9) 毕业设计答辩（2026年05月08日至2026年05月15日）。</w:t>
            </w:r>
          </w:p>
          <w:p w14:paraId="338715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sz w:val="24"/>
              </w:rPr>
            </w:pPr>
            <w:r>
              <w:rPr>
                <w:rFonts w:hint="default" w:ascii="Times New Roman" w:hAnsi="Times New Roman" w:eastAsia="宋体" w:cs="宋体"/>
                <w:sz w:val="24"/>
              </w:rPr>
              <w:t>(10)归档资料（ 2026年05月16日至2026年06月01日）。</w:t>
            </w:r>
            <w:bookmarkEnd w:id="12"/>
          </w:p>
        </w:tc>
      </w:tr>
      <w:tr w14:paraId="743E0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4798" w:hRule="atLeast"/>
          <w:jc w:val="center"/>
        </w:trPr>
        <w:tc>
          <w:tcPr>
            <w:tcW w:w="8779" w:type="dxa"/>
            <w:gridSpan w:val="2"/>
          </w:tcPr>
          <w:p w14:paraId="2A7AA81A">
            <w:pPr>
              <w:spacing w:line="360" w:lineRule="auto"/>
              <w:ind w:firstLine="120" w:firstLineChars="50"/>
              <w:rPr>
                <w:rFonts w:ascii="Times New Roman" w:hAnsi="Times New Roman" w:cs="宋体"/>
                <w:sz w:val="24"/>
              </w:rPr>
            </w:pPr>
            <w:r>
              <w:rPr>
                <w:rFonts w:hint="eastAsia" w:ascii="Times New Roman" w:hAnsi="Times New Roman" w:cs="宋体"/>
                <w:sz w:val="24"/>
              </w:rPr>
              <w:t>五、指导教师意见</w:t>
            </w:r>
          </w:p>
          <w:p w14:paraId="00B5AF09">
            <w:pPr>
              <w:rPr>
                <w:rFonts w:ascii="Times New Roman" w:hAnsi="Times New Roman" w:cs="宋体"/>
                <w:sz w:val="24"/>
              </w:rPr>
            </w:pPr>
          </w:p>
          <w:p w14:paraId="53575C19">
            <w:pPr>
              <w:rPr>
                <w:rFonts w:hint="default" w:ascii="Times New Roman" w:hAnsi="Times New Roman" w:eastAsia="宋体" w:cs="宋体"/>
                <w:sz w:val="24"/>
                <w:lang w:val="en-US" w:eastAsia="zh-CN"/>
              </w:rPr>
            </w:pPr>
          </w:p>
          <w:p w14:paraId="7BA6A47D">
            <w:pPr>
              <w:rPr>
                <w:rFonts w:ascii="Times New Roman" w:hAnsi="Times New Roman" w:cs="宋体"/>
                <w:sz w:val="24"/>
              </w:rPr>
            </w:pPr>
          </w:p>
          <w:p w14:paraId="2BC66960">
            <w:pPr>
              <w:rPr>
                <w:rFonts w:ascii="Times New Roman" w:hAnsi="Times New Roman" w:cs="宋体"/>
                <w:sz w:val="24"/>
              </w:rPr>
            </w:pPr>
          </w:p>
          <w:p w14:paraId="4C9EF0F5">
            <w:pPr>
              <w:rPr>
                <w:rFonts w:ascii="Times New Roman" w:hAnsi="Times New Roman" w:cs="宋体"/>
                <w:sz w:val="24"/>
              </w:rPr>
            </w:pPr>
          </w:p>
          <w:p w14:paraId="00283A46">
            <w:pPr>
              <w:rPr>
                <w:rFonts w:ascii="Times New Roman" w:hAnsi="Times New Roman" w:cs="宋体"/>
                <w:sz w:val="24"/>
              </w:rPr>
            </w:pPr>
          </w:p>
          <w:p w14:paraId="7DB70C93">
            <w:pPr>
              <w:rPr>
                <w:rFonts w:ascii="Times New Roman" w:hAnsi="Times New Roman" w:cs="宋体"/>
                <w:sz w:val="24"/>
              </w:rPr>
            </w:pPr>
          </w:p>
          <w:p w14:paraId="7560568D">
            <w:pPr>
              <w:rPr>
                <w:rFonts w:ascii="Times New Roman" w:hAnsi="Times New Roman" w:cs="宋体"/>
                <w:sz w:val="24"/>
              </w:rPr>
            </w:pPr>
          </w:p>
          <w:p w14:paraId="65D1E810">
            <w:pPr>
              <w:wordWrap w:val="0"/>
              <w:ind w:left="0" w:leftChars="0"/>
              <w:jc w:val="right"/>
              <w:rPr>
                <w:rFonts w:hint="default" w:ascii="Times New Roman" w:hAnsi="Times New Roman" w:eastAsia="宋体" w:cs="宋体"/>
                <w:sz w:val="24"/>
                <w:lang w:val="en-US" w:eastAsia="zh-CN"/>
              </w:rPr>
            </w:pPr>
            <w:r>
              <w:rPr>
                <w:rFonts w:hint="eastAsia" w:ascii="Times New Roman" w:hAnsi="Times New Roman" w:cs="宋体"/>
                <w:sz w:val="24"/>
              </w:rPr>
              <w:t>指导教师签名：</w:t>
            </w:r>
            <w:r>
              <w:rPr>
                <w:rFonts w:hint="eastAsia" w:ascii="Times New Roman" w:hAnsi="Times New Roman" w:cs="宋体"/>
                <w:sz w:val="24"/>
                <w:lang w:val="en-US" w:eastAsia="zh-CN"/>
              </w:rPr>
              <w:t xml:space="preserve">            </w:t>
            </w:r>
          </w:p>
          <w:p w14:paraId="76FB980F">
            <w:pPr>
              <w:jc w:val="right"/>
              <w:rPr>
                <w:rFonts w:ascii="Times New Roman" w:hAnsi="Times New Roman" w:cs="宋体"/>
                <w:sz w:val="24"/>
              </w:rPr>
            </w:pPr>
            <w:r>
              <w:rPr>
                <w:rFonts w:hint="eastAsia" w:ascii="Times New Roman" w:hAnsi="Times New Roman" w:cs="宋体"/>
                <w:sz w:val="24"/>
              </w:rPr>
              <w:t xml:space="preserve">        </w:t>
            </w:r>
          </w:p>
          <w:p w14:paraId="1F007E28">
            <w:pPr>
              <w:spacing w:line="320" w:lineRule="exact"/>
              <w:jc w:val="right"/>
              <w:rPr>
                <w:rFonts w:hint="default" w:ascii="Times New Roman" w:hAnsi="Times New Roman" w:eastAsia="宋体"/>
                <w:sz w:val="24"/>
                <w:lang w:val="en-US" w:eastAsia="zh-CN"/>
              </w:rPr>
            </w:pPr>
            <w:r>
              <w:rPr>
                <w:rFonts w:hint="eastAsia" w:ascii="Times New Roman" w:hAnsi="Times New Roman"/>
                <w:sz w:val="24"/>
                <w:lang w:val="en-US" w:eastAsia="zh-CN"/>
              </w:rPr>
              <w:t>年     月     日</w:t>
            </w:r>
          </w:p>
          <w:p w14:paraId="7EE1D8FC">
            <w:pPr>
              <w:wordWrap w:val="0"/>
              <w:jc w:val="right"/>
              <w:rPr>
                <w:rFonts w:ascii="Times New Roman" w:hAnsi="Times New Roman" w:cs="宋体"/>
                <w:sz w:val="28"/>
                <w:szCs w:val="28"/>
              </w:rPr>
            </w:pPr>
          </w:p>
        </w:tc>
      </w:tr>
      <w:tr w14:paraId="6000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28" w:hRule="atLeast"/>
          <w:jc w:val="center"/>
        </w:trPr>
        <w:tc>
          <w:tcPr>
            <w:tcW w:w="958" w:type="dxa"/>
          </w:tcPr>
          <w:p w14:paraId="7B80E5D9">
            <w:pPr>
              <w:spacing w:line="360" w:lineRule="auto"/>
              <w:rPr>
                <w:rFonts w:ascii="Times New Roman" w:hAnsi="Times New Roman"/>
                <w:sz w:val="24"/>
              </w:rPr>
            </w:pPr>
            <w:r>
              <w:rPr>
                <w:rFonts w:hint="eastAsia" w:ascii="Times New Roman" w:hAnsi="Times New Roman"/>
                <w:sz w:val="24"/>
              </w:rPr>
              <w:t>六、</w:t>
            </w:r>
            <w:r>
              <w:rPr>
                <w:rFonts w:hint="eastAsia" w:ascii="Times New Roman" w:hAnsi="Times New Roman" w:cs="宋体"/>
                <w:sz w:val="24"/>
              </w:rPr>
              <w:t>开题审查小组意见</w:t>
            </w:r>
          </w:p>
          <w:p w14:paraId="2F513A4C">
            <w:pPr>
              <w:spacing w:line="320" w:lineRule="exact"/>
              <w:rPr>
                <w:rFonts w:ascii="Times New Roman" w:hAnsi="Times New Roman"/>
                <w:sz w:val="24"/>
              </w:rPr>
            </w:pPr>
          </w:p>
        </w:tc>
        <w:tc>
          <w:tcPr>
            <w:tcW w:w="7821" w:type="dxa"/>
          </w:tcPr>
          <w:p w14:paraId="53BA92EA">
            <w:pPr>
              <w:spacing w:line="320" w:lineRule="exact"/>
              <w:jc w:val="left"/>
              <w:rPr>
                <w:rFonts w:ascii="Times New Roman" w:hAnsi="Times New Roman"/>
                <w:sz w:val="24"/>
              </w:rPr>
            </w:pPr>
          </w:p>
          <w:p w14:paraId="4DE88ACD">
            <w:pPr>
              <w:spacing w:line="320" w:lineRule="exact"/>
              <w:jc w:val="left"/>
              <w:rPr>
                <w:rFonts w:ascii="Times New Roman" w:hAnsi="Times New Roman"/>
                <w:sz w:val="24"/>
              </w:rPr>
            </w:pPr>
            <w:r>
              <w:rPr>
                <w:rFonts w:hint="eastAsia" w:ascii="Times New Roman" w:hAnsi="Times New Roman"/>
                <w:sz w:val="24"/>
              </w:rPr>
              <w:t xml:space="preserve">                                                            </w:t>
            </w:r>
          </w:p>
          <w:p w14:paraId="1852BC82">
            <w:pPr>
              <w:spacing w:line="360" w:lineRule="auto"/>
              <w:rPr>
                <w:rFonts w:ascii="Times New Roman" w:hAnsi="Times New Roman"/>
                <w:sz w:val="24"/>
              </w:rPr>
            </w:pPr>
            <w:r>
              <w:rPr>
                <w:rFonts w:hint="eastAsia" w:ascii="Times New Roman" w:hAnsi="Times New Roman"/>
                <w:sz w:val="24"/>
              </w:rPr>
              <w:t xml:space="preserve">组长签名：    </w:t>
            </w:r>
            <w:r>
              <w:rPr>
                <w:rFonts w:ascii="Times New Roman" w:hAnsi="Times New Roman"/>
                <w:sz w:val="24"/>
              </w:rPr>
              <w:t xml:space="preserve">   </w:t>
            </w:r>
          </w:p>
          <w:p w14:paraId="57D12C94">
            <w:pPr>
              <w:spacing w:line="360" w:lineRule="auto"/>
              <w:jc w:val="left"/>
              <w:rPr>
                <w:rFonts w:hint="eastAsia" w:ascii="Times New Roman" w:hAnsi="Times New Roman"/>
                <w:sz w:val="24"/>
              </w:rPr>
            </w:pPr>
            <w:r>
              <w:rPr>
                <w:rFonts w:hint="eastAsia" w:ascii="Times New Roman" w:hAnsi="Times New Roman"/>
                <w:sz w:val="24"/>
              </w:rPr>
              <w:t>成员签名：</w:t>
            </w:r>
          </w:p>
          <w:p w14:paraId="2133CE37">
            <w:pPr>
              <w:spacing w:line="320" w:lineRule="exact"/>
              <w:ind w:firstLine="600" w:firstLineChars="250"/>
              <w:rPr>
                <w:rFonts w:hint="eastAsia" w:ascii="Times New Roman" w:hAnsi="Times New Roman"/>
                <w:sz w:val="24"/>
              </w:rPr>
            </w:pPr>
          </w:p>
          <w:p w14:paraId="4AE54C1E">
            <w:pPr>
              <w:spacing w:line="320" w:lineRule="exact"/>
              <w:jc w:val="right"/>
              <w:rPr>
                <w:rFonts w:hint="default" w:ascii="Times New Roman" w:hAnsi="Times New Roman" w:eastAsia="宋体"/>
                <w:sz w:val="24"/>
                <w:lang w:val="en-US" w:eastAsia="zh-CN"/>
              </w:rPr>
            </w:pPr>
            <w:r>
              <w:rPr>
                <w:rFonts w:hint="eastAsia" w:ascii="Times New Roman" w:hAnsi="Times New Roman"/>
                <w:sz w:val="24"/>
                <w:lang w:val="en-US" w:eastAsia="zh-CN"/>
              </w:rPr>
              <w:t>年     月     日</w:t>
            </w:r>
          </w:p>
          <w:p w14:paraId="344E94E6">
            <w:pPr>
              <w:tabs>
                <w:tab w:val="left" w:pos="4109"/>
              </w:tabs>
              <w:spacing w:line="320" w:lineRule="exact"/>
              <w:jc w:val="left"/>
              <w:rPr>
                <w:rFonts w:hint="eastAsia" w:ascii="Times New Roman" w:hAnsi="Times New Roman"/>
                <w:sz w:val="24"/>
              </w:rPr>
            </w:pPr>
          </w:p>
          <w:p w14:paraId="2E0969D9">
            <w:pPr>
              <w:tabs>
                <w:tab w:val="left" w:pos="4109"/>
              </w:tabs>
              <w:spacing w:line="320" w:lineRule="exact"/>
              <w:jc w:val="left"/>
              <w:rPr>
                <w:rFonts w:hint="eastAsia" w:ascii="Times New Roman" w:hAnsi="Times New Roman"/>
                <w:sz w:val="24"/>
              </w:rPr>
            </w:pPr>
            <w:r>
              <w:rPr>
                <w:rFonts w:hint="eastAsia" w:ascii="Times New Roman" w:hAnsi="Times New Roman"/>
                <w:sz w:val="24"/>
              </w:rPr>
              <w:t xml:space="preserve"> </w:t>
            </w:r>
            <w:r>
              <w:rPr>
                <w:rFonts w:ascii="Times New Roman" w:hAnsi="Times New Roman"/>
                <w:sz w:val="24"/>
              </w:rPr>
              <w:t xml:space="preserve">                                                 </w:t>
            </w:r>
          </w:p>
        </w:tc>
      </w:tr>
    </w:tbl>
    <w:p w14:paraId="49C73035">
      <w:pPr>
        <w:numPr>
          <w:ilvl w:val="0"/>
          <w:numId w:val="0"/>
        </w:numPr>
        <w:spacing w:line="240" w:lineRule="auto"/>
        <w:rPr>
          <w:rFonts w:hint="eastAsia" w:ascii="Times New Roman" w:hAnsi="Times New Roman"/>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舒体">
    <w:panose1 w:val="02010601030101010101"/>
    <w:charset w:val="86"/>
    <w:family w:val="auto"/>
    <w:pitch w:val="default"/>
    <w:sig w:usb0="00000003"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2FF945"/>
    <w:multiLevelType w:val="singleLevel"/>
    <w:tmpl w:val="622FF945"/>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MwZmRiMjkxY2Y4ZWIyODhiYWJkYTllZTkwYjhmYTcifQ=="/>
  </w:docVars>
  <w:rsids>
    <w:rsidRoot w:val="003424D4"/>
    <w:rsid w:val="0002760B"/>
    <w:rsid w:val="00077870"/>
    <w:rsid w:val="00087496"/>
    <w:rsid w:val="000C5C31"/>
    <w:rsid w:val="000F6625"/>
    <w:rsid w:val="0012286C"/>
    <w:rsid w:val="0018336E"/>
    <w:rsid w:val="001A1F95"/>
    <w:rsid w:val="001D31EA"/>
    <w:rsid w:val="001F7875"/>
    <w:rsid w:val="002016E2"/>
    <w:rsid w:val="002067E6"/>
    <w:rsid w:val="00223E8E"/>
    <w:rsid w:val="00282816"/>
    <w:rsid w:val="002A5BDD"/>
    <w:rsid w:val="003246C1"/>
    <w:rsid w:val="00327961"/>
    <w:rsid w:val="00337FF8"/>
    <w:rsid w:val="003406AA"/>
    <w:rsid w:val="003424D4"/>
    <w:rsid w:val="00353DDA"/>
    <w:rsid w:val="003B53E7"/>
    <w:rsid w:val="003F20DD"/>
    <w:rsid w:val="003F4EB6"/>
    <w:rsid w:val="00424F93"/>
    <w:rsid w:val="00431219"/>
    <w:rsid w:val="004B40FE"/>
    <w:rsid w:val="005428BA"/>
    <w:rsid w:val="005A7DDB"/>
    <w:rsid w:val="005B16CC"/>
    <w:rsid w:val="00607FE1"/>
    <w:rsid w:val="006321EE"/>
    <w:rsid w:val="00677A69"/>
    <w:rsid w:val="00724B0E"/>
    <w:rsid w:val="00740C00"/>
    <w:rsid w:val="00795B8F"/>
    <w:rsid w:val="007D7DBB"/>
    <w:rsid w:val="007F4BC1"/>
    <w:rsid w:val="00834E2B"/>
    <w:rsid w:val="008369CC"/>
    <w:rsid w:val="00845DA5"/>
    <w:rsid w:val="00860531"/>
    <w:rsid w:val="008B1BE0"/>
    <w:rsid w:val="008E0F31"/>
    <w:rsid w:val="008F4377"/>
    <w:rsid w:val="00923630"/>
    <w:rsid w:val="009440B6"/>
    <w:rsid w:val="00945AD0"/>
    <w:rsid w:val="009810A4"/>
    <w:rsid w:val="009821C5"/>
    <w:rsid w:val="009855CE"/>
    <w:rsid w:val="009C6E11"/>
    <w:rsid w:val="009D13E9"/>
    <w:rsid w:val="00A104E2"/>
    <w:rsid w:val="00A22A60"/>
    <w:rsid w:val="00A353CB"/>
    <w:rsid w:val="00A81A1B"/>
    <w:rsid w:val="00A826B3"/>
    <w:rsid w:val="00A87B41"/>
    <w:rsid w:val="00A9770A"/>
    <w:rsid w:val="00AD7BD9"/>
    <w:rsid w:val="00B14151"/>
    <w:rsid w:val="00B34718"/>
    <w:rsid w:val="00B90DA8"/>
    <w:rsid w:val="00B947B9"/>
    <w:rsid w:val="00BA17A6"/>
    <w:rsid w:val="00BC39E8"/>
    <w:rsid w:val="00CA6D17"/>
    <w:rsid w:val="00CB0187"/>
    <w:rsid w:val="00CC7EC9"/>
    <w:rsid w:val="00CE1BE9"/>
    <w:rsid w:val="00D2235A"/>
    <w:rsid w:val="00D23D3E"/>
    <w:rsid w:val="00D743A0"/>
    <w:rsid w:val="00D82D5D"/>
    <w:rsid w:val="00D94B9E"/>
    <w:rsid w:val="00E11CB2"/>
    <w:rsid w:val="00E572B0"/>
    <w:rsid w:val="00E865FF"/>
    <w:rsid w:val="00E879E6"/>
    <w:rsid w:val="00E95D30"/>
    <w:rsid w:val="00EA1AB0"/>
    <w:rsid w:val="00EB491E"/>
    <w:rsid w:val="00F2482D"/>
    <w:rsid w:val="00FB4799"/>
    <w:rsid w:val="01AD7086"/>
    <w:rsid w:val="03966111"/>
    <w:rsid w:val="04E2493B"/>
    <w:rsid w:val="07A80859"/>
    <w:rsid w:val="07BF6119"/>
    <w:rsid w:val="0BC62042"/>
    <w:rsid w:val="0CCF0636"/>
    <w:rsid w:val="0DFE11D3"/>
    <w:rsid w:val="0F404D19"/>
    <w:rsid w:val="106C7A54"/>
    <w:rsid w:val="1228130D"/>
    <w:rsid w:val="13362245"/>
    <w:rsid w:val="15743FAD"/>
    <w:rsid w:val="16257519"/>
    <w:rsid w:val="19612927"/>
    <w:rsid w:val="197C1B46"/>
    <w:rsid w:val="1AFD6326"/>
    <w:rsid w:val="1C512E16"/>
    <w:rsid w:val="1F641904"/>
    <w:rsid w:val="20DF34D5"/>
    <w:rsid w:val="244B4A06"/>
    <w:rsid w:val="24773635"/>
    <w:rsid w:val="2B7663F5"/>
    <w:rsid w:val="2F8F6815"/>
    <w:rsid w:val="2FB71D18"/>
    <w:rsid w:val="320A5AE9"/>
    <w:rsid w:val="33332E1D"/>
    <w:rsid w:val="337A634B"/>
    <w:rsid w:val="351F71A7"/>
    <w:rsid w:val="35B62C73"/>
    <w:rsid w:val="3603722A"/>
    <w:rsid w:val="362F3A36"/>
    <w:rsid w:val="368A562C"/>
    <w:rsid w:val="36C354A5"/>
    <w:rsid w:val="39DB4E56"/>
    <w:rsid w:val="3F2D4A59"/>
    <w:rsid w:val="3F593C0C"/>
    <w:rsid w:val="3F63D4A7"/>
    <w:rsid w:val="3FB2123C"/>
    <w:rsid w:val="3FBD2FD0"/>
    <w:rsid w:val="3FC512A1"/>
    <w:rsid w:val="437F2F6E"/>
    <w:rsid w:val="46703918"/>
    <w:rsid w:val="47765958"/>
    <w:rsid w:val="498B5A38"/>
    <w:rsid w:val="4E2C1F84"/>
    <w:rsid w:val="5099687A"/>
    <w:rsid w:val="53EA0E7E"/>
    <w:rsid w:val="58B81177"/>
    <w:rsid w:val="59E37CA5"/>
    <w:rsid w:val="5B7FCB6B"/>
    <w:rsid w:val="5D224993"/>
    <w:rsid w:val="5D245401"/>
    <w:rsid w:val="5F7FDCB6"/>
    <w:rsid w:val="61B551C2"/>
    <w:rsid w:val="62FA152C"/>
    <w:rsid w:val="68B3147F"/>
    <w:rsid w:val="691E05F9"/>
    <w:rsid w:val="6A2D1C7C"/>
    <w:rsid w:val="6C4E5FF7"/>
    <w:rsid w:val="6D621516"/>
    <w:rsid w:val="6DEED8FA"/>
    <w:rsid w:val="6DFD716E"/>
    <w:rsid w:val="7306587D"/>
    <w:rsid w:val="73A11102"/>
    <w:rsid w:val="744E4067"/>
    <w:rsid w:val="74C316A5"/>
    <w:rsid w:val="74E74B20"/>
    <w:rsid w:val="75842A89"/>
    <w:rsid w:val="77D4325F"/>
    <w:rsid w:val="7AEEFA2B"/>
    <w:rsid w:val="7AFF82EF"/>
    <w:rsid w:val="7B861B2E"/>
    <w:rsid w:val="7C3A0345"/>
    <w:rsid w:val="7C777061"/>
    <w:rsid w:val="7D41018B"/>
    <w:rsid w:val="7DB5A165"/>
    <w:rsid w:val="7EAA3560"/>
    <w:rsid w:val="7EDB05E6"/>
    <w:rsid w:val="7FFF6E3C"/>
    <w:rsid w:val="89DCFFB8"/>
    <w:rsid w:val="AFFFA2B3"/>
    <w:rsid w:val="CDBA28BA"/>
    <w:rsid w:val="DFFE447D"/>
    <w:rsid w:val="E7FBC7E9"/>
    <w:rsid w:val="EE7F6154"/>
    <w:rsid w:val="EEFF03D2"/>
    <w:rsid w:val="EFA71CAA"/>
    <w:rsid w:val="F3FD506A"/>
    <w:rsid w:val="F9FE7E78"/>
    <w:rsid w:val="FBBB24DA"/>
    <w:rsid w:val="FFB0A438"/>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Body Text Indent"/>
    <w:basedOn w:val="1"/>
    <w:link w:val="15"/>
    <w:qFormat/>
    <w:uiPriority w:val="0"/>
    <w:pPr>
      <w:spacing w:line="360" w:lineRule="exact"/>
      <w:ind w:left="538" w:hanging="538" w:hangingChars="192"/>
    </w:pPr>
    <w:rPr>
      <w:sz w:val="28"/>
    </w:rPr>
  </w:style>
  <w:style w:type="paragraph" w:styleId="4">
    <w:name w:val="Balloon Text"/>
    <w:basedOn w:val="1"/>
    <w:link w:val="14"/>
    <w:unhideWhenUsed/>
    <w:qFormat/>
    <w:uiPriority w:val="99"/>
    <w:rPr>
      <w:rFonts w:ascii="宋体"/>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Hyperlink"/>
    <w:basedOn w:val="9"/>
    <w:unhideWhenUsed/>
    <w:qFormat/>
    <w:uiPriority w:val="99"/>
    <w:rPr>
      <w:color w:val="0000FF"/>
      <w:u w:val="single"/>
    </w:rPr>
  </w:style>
  <w:style w:type="character" w:customStyle="1" w:styleId="12">
    <w:name w:val="页眉 Char"/>
    <w:basedOn w:val="9"/>
    <w:link w:val="6"/>
    <w:qFormat/>
    <w:uiPriority w:val="99"/>
    <w:rPr>
      <w:sz w:val="18"/>
      <w:szCs w:val="18"/>
    </w:rPr>
  </w:style>
  <w:style w:type="character" w:customStyle="1" w:styleId="13">
    <w:name w:val="页脚 Char"/>
    <w:basedOn w:val="9"/>
    <w:link w:val="5"/>
    <w:qFormat/>
    <w:uiPriority w:val="99"/>
    <w:rPr>
      <w:sz w:val="18"/>
      <w:szCs w:val="18"/>
    </w:rPr>
  </w:style>
  <w:style w:type="character" w:customStyle="1" w:styleId="14">
    <w:name w:val="批注框文本 Char"/>
    <w:basedOn w:val="9"/>
    <w:link w:val="4"/>
    <w:semiHidden/>
    <w:qFormat/>
    <w:uiPriority w:val="99"/>
    <w:rPr>
      <w:rFonts w:ascii="宋体" w:hAnsi="Times New Roman" w:eastAsia="宋体" w:cs="Times New Roman"/>
      <w:sz w:val="18"/>
      <w:szCs w:val="18"/>
    </w:rPr>
  </w:style>
  <w:style w:type="character" w:customStyle="1" w:styleId="15">
    <w:name w:val="正文文本缩进 Char"/>
    <w:basedOn w:val="9"/>
    <w:link w:val="3"/>
    <w:qFormat/>
    <w:uiPriority w:val="0"/>
    <w:rPr>
      <w:rFonts w:ascii="Times New Roman" w:hAnsi="Times New Roman" w:eastAsia="宋体" w:cs="Times New Roman"/>
      <w:sz w:val="28"/>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7223</Words>
  <Characters>8228</Characters>
  <Lines>6</Lines>
  <Paragraphs>1</Paragraphs>
  <TotalTime>124</TotalTime>
  <ScaleCrop>false</ScaleCrop>
  <LinksUpToDate>false</LinksUpToDate>
  <CharactersWithSpaces>8270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2021-01-29T06:34:00Z</dcterms:created>
  <dc:creator>Admin</dc:creator>
  <cp:lastModifiedBy>墨雨</cp:lastModifiedBy>
  <dcterms:modified xsi:type="dcterms:W3CDTF">2026-01-17T15:28:22Z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SaveFontToCloudKey">
    <vt:lpwstr>357770918_btnclosed</vt:lpwstr>
  </property>
  <property fmtid="{D5CDD505-2E9C-101B-9397-08002B2CF9AE}" pid="3" name="KSOProductBuildVer">
    <vt:lpwstr>2052-12.1.0.24657</vt:lpwstr>
  </property>
  <property fmtid="{D5CDD505-2E9C-101B-9397-08002B2CF9AE}" pid="4" name="ICV">
    <vt:lpwstr>F0D0B40D51A6435881050B938831FBBC_13</vt:lpwstr>
  </property>
  <property fmtid="{D5CDD505-2E9C-101B-9397-08002B2CF9AE}" pid="5" name="KSOTemplateDocerSaveRecord">
    <vt:lpwstr>eyJoZGlkIjoiODllNmJiMDcyNDM3YzRmZjQ1MGEwMjUzNjQ2ZjdjN2UiLCJ1c2VySWQiOiI4MzU5NTMwMTIifQ==</vt:lpwstr>
  </property>
</Properties>
</file>