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5000" w:type="pct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08"/>
      </w:tblGrid>
      <w:tr w14:paraId="5B096775">
        <w:trPr>
          <w:trHeight w:val="16838" w:hRule="exac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701" w:type="dxa"/>
              <w:right w:w="1701" w:type="dxa"/>
            </w:tcMar>
            <w:vAlign w:val="top"/>
          </w:tcPr>
          <w:p w14:paraId="12119DE1">
            <w:pPr>
              <w:spacing w:before="3660"/>
            </w:pPr>
          </w:p>
          <w:p w14:paraId="1A1608FA">
            <w:pPr>
              <w:spacing w:after="300"/>
              <w:jc w:val="center"/>
              <w:rPr>
                <w:rFonts w:hint="eastAsia" w:eastAsia="黑体"/>
                <w:b/>
                <w:bCs/>
                <w:sz w:val="44"/>
                <w:szCs w:val="44"/>
                <w:lang w:val="en-US" w:eastAsia="zh-CN"/>
              </w:rPr>
            </w:pPr>
            <w:r>
              <w:rPr>
                <w:rFonts w:hint="eastAsia" w:ascii="Times New Roman" w:eastAsia="黑体"/>
                <w:b/>
                <w:bCs/>
                <w:sz w:val="44"/>
                <w:szCs w:val="44"/>
              </w:rPr>
              <w:t>金融情绪判断的置信度</w:t>
            </w:r>
            <w:r>
              <w:rPr>
                <w:rFonts w:hint="eastAsia" w:eastAsia="黑体"/>
                <w:b/>
                <w:bCs/>
                <w:sz w:val="44"/>
                <w:szCs w:val="44"/>
                <w:lang w:val="en-US" w:eastAsia="zh-CN"/>
              </w:rPr>
              <w:t>校准：</w:t>
            </w:r>
          </w:p>
          <w:p w14:paraId="3FB0E6C4">
            <w:pPr>
              <w:spacing w:after="300"/>
              <w:jc w:val="center"/>
              <w:rPr>
                <w:rFonts w:hint="eastAsia" w:eastAsia="黑体"/>
                <w:sz w:val="44"/>
                <w:szCs w:val="44"/>
                <w:lang w:val="en-US" w:eastAsia="zh-CN"/>
              </w:rPr>
            </w:pPr>
            <w:r>
              <w:rPr>
                <w:rFonts w:hint="eastAsia" w:eastAsia="黑体"/>
                <w:b/>
                <w:bCs/>
                <w:sz w:val="44"/>
                <w:szCs w:val="44"/>
                <w:lang w:val="en-US" w:eastAsia="zh-CN"/>
              </w:rPr>
              <w:t>基于 Brier 校准的 GRPO 强化学习训练方法</w:t>
            </w:r>
          </w:p>
          <w:p w14:paraId="0C03C4A3">
            <w:pPr>
              <w:spacing w:after="200"/>
              <w:jc w:val="center"/>
            </w:pPr>
            <w:r>
              <w:rPr>
                <w:rFonts w:ascii="Times New Roman" w:eastAsia="宋体"/>
                <w:sz w:val="30"/>
                <w:szCs w:val="30"/>
              </w:rPr>
              <w:t>GRPO + RLCD 实验报告</w:t>
            </w:r>
          </w:p>
          <w:p w14:paraId="00FF21F2">
            <w:pPr>
              <w:spacing w:before="1365"/>
            </w:pPr>
          </w:p>
          <w:tbl>
            <w:tblPr>
              <w:tblStyle w:val="15"/>
              <w:tblW w:w="2750" w:type="pct"/>
              <w:jc w:val="center"/>
              <w:tblBorders>
                <w:top w:val="none" w:color="FFFFFF" w:sz="0" w:space="0"/>
                <w:left w:val="none" w:color="FFFFFF" w:sz="0" w:space="0"/>
                <w:bottom w:val="none" w:color="FFFFFF" w:sz="0" w:space="0"/>
                <w:right w:val="none" w:color="FFFFFF" w:sz="0" w:space="0"/>
                <w:insideH w:val="none" w:color="FFFFFF" w:sz="0" w:space="0"/>
                <w:insideV w:val="none" w:color="FFFFFF" w:sz="0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1637"/>
              <w:gridCol w:w="4911"/>
            </w:tblGrid>
            <w:tr w14:paraId="05042958">
              <w:trPr>
                <w:jc w:val="center"/>
              </w:trPr>
              <w:tc>
                <w:tcPr>
                  <w:tcW w:w="1250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1F337078">
                  <w:pPr>
                    <w:spacing w:before="60" w:after="60" w:line="400" w:lineRule="auto"/>
                    <w:jc w:val="left"/>
                  </w:pPr>
                  <w:r>
                    <w:rPr>
                      <w:rFonts w:ascii="Times New Roman" w:eastAsia="宋体"/>
                      <w:sz w:val="24"/>
                      <w:szCs w:val="24"/>
                    </w:rPr>
                    <w:t>实验平台：</w:t>
                  </w:r>
                </w:p>
              </w:tc>
              <w:tc>
                <w:tcPr>
                  <w:tcW w:w="3750" w:type="pct"/>
                  <w:tcBorders>
                    <w:top w:val="nil"/>
                    <w:left w:val="nil"/>
                    <w:bottom w:val="single" w:color="000000" w:sz="4" w:space="0"/>
                    <w:right w:val="nil"/>
                  </w:tcBorders>
                  <w:tcMar>
                    <w:top w:w="60" w:type="dxa"/>
                    <w:left w:w="80" w:type="dxa"/>
                    <w:bottom w:w="60" w:type="dxa"/>
                    <w:right w:w="0" w:type="dxa"/>
                  </w:tcMar>
                </w:tcPr>
                <w:p w14:paraId="4AB4E19C">
                  <w:pPr>
                    <w:spacing w:before="60" w:after="60" w:line="400" w:lineRule="auto"/>
                    <w:jc w:val="left"/>
                  </w:pPr>
                  <w:r>
                    <w:rPr>
                      <w:rFonts w:ascii="Times New Roman" w:eastAsia="宋体"/>
                      <w:sz w:val="24"/>
                      <w:szCs w:val="24"/>
                    </w:rPr>
                    <w:t>单卡 NVIDIA A800-80GB（pywang-gpu03）</w:t>
                  </w:r>
                </w:p>
              </w:tc>
            </w:tr>
            <w:tr w14:paraId="5737871E">
              <w:trPr>
                <w:jc w:val="center"/>
              </w:trPr>
              <w:tc>
                <w:tcPr>
                  <w:tcW w:w="1250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53C8FB0F">
                  <w:pPr>
                    <w:spacing w:before="60" w:after="60" w:line="400" w:lineRule="auto"/>
                    <w:jc w:val="left"/>
                  </w:pPr>
                  <w:r>
                    <w:rPr>
                      <w:rFonts w:ascii="Times New Roman" w:eastAsia="宋体"/>
                      <w:sz w:val="24"/>
                      <w:szCs w:val="24"/>
                    </w:rPr>
                    <w:t>基座模型：</w:t>
                  </w:r>
                </w:p>
              </w:tc>
              <w:tc>
                <w:tcPr>
                  <w:tcW w:w="3750" w:type="pct"/>
                  <w:tcBorders>
                    <w:top w:val="nil"/>
                    <w:left w:val="nil"/>
                    <w:bottom w:val="single" w:color="000000" w:sz="4" w:space="0"/>
                    <w:right w:val="nil"/>
                  </w:tcBorders>
                  <w:tcMar>
                    <w:top w:w="60" w:type="dxa"/>
                    <w:left w:w="80" w:type="dxa"/>
                    <w:bottom w:w="60" w:type="dxa"/>
                    <w:right w:w="0" w:type="dxa"/>
                  </w:tcMar>
                </w:tcPr>
                <w:p w14:paraId="615919E6">
                  <w:pPr>
                    <w:spacing w:before="60" w:after="60" w:line="400" w:lineRule="auto"/>
                    <w:jc w:val="left"/>
                  </w:pPr>
                  <w:r>
                    <w:rPr>
                      <w:rFonts w:ascii="Times New Roman" w:eastAsia="宋体"/>
                      <w:sz w:val="24"/>
                      <w:szCs w:val="24"/>
                    </w:rPr>
                    <w:t>Qwen3-0.6B</w:t>
                  </w:r>
                </w:p>
              </w:tc>
            </w:tr>
            <w:tr w14:paraId="355F0430">
              <w:trPr>
                <w:jc w:val="center"/>
              </w:trPr>
              <w:tc>
                <w:tcPr>
                  <w:tcW w:w="1250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6138DD0D">
                  <w:pPr>
                    <w:spacing w:before="60" w:after="60" w:line="400" w:lineRule="auto"/>
                    <w:jc w:val="left"/>
                  </w:pPr>
                  <w:r>
                    <w:rPr>
                      <w:rFonts w:ascii="Times New Roman" w:eastAsia="宋体"/>
                      <w:sz w:val="24"/>
                      <w:szCs w:val="24"/>
                    </w:rPr>
                    <w:t>实验框架：</w:t>
                  </w:r>
                </w:p>
              </w:tc>
              <w:tc>
                <w:tcPr>
                  <w:tcW w:w="3750" w:type="pct"/>
                  <w:tcBorders>
                    <w:top w:val="nil"/>
                    <w:left w:val="nil"/>
                    <w:bottom w:val="single" w:color="000000" w:sz="4" w:space="0"/>
                    <w:right w:val="nil"/>
                  </w:tcBorders>
                  <w:tcMar>
                    <w:top w:w="60" w:type="dxa"/>
                    <w:left w:w="80" w:type="dxa"/>
                    <w:bottom w:w="60" w:type="dxa"/>
                    <w:right w:w="0" w:type="dxa"/>
                  </w:tcMar>
                </w:tcPr>
                <w:p w14:paraId="0C08B351">
                  <w:pPr>
                    <w:spacing w:before="60" w:after="60" w:line="400" w:lineRule="auto"/>
                    <w:jc w:val="left"/>
                  </w:pPr>
                  <w:r>
                    <w:rPr>
                      <w:rFonts w:ascii="Times New Roman" w:eastAsia="宋体"/>
                      <w:sz w:val="24"/>
                      <w:szCs w:val="24"/>
                    </w:rPr>
                    <w:t>TRL 1.10 + vLLM 0.19（colocate）</w:t>
                  </w:r>
                </w:p>
              </w:tc>
            </w:tr>
            <w:tr w14:paraId="424357E9">
              <w:trPr>
                <w:jc w:val="center"/>
              </w:trPr>
              <w:tc>
                <w:tcPr>
                  <w:tcW w:w="1250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67DE5102">
                  <w:pPr>
                    <w:spacing w:before="60" w:after="60" w:line="400" w:lineRule="auto"/>
                    <w:jc w:val="left"/>
                  </w:pPr>
                  <w:r>
                    <w:rPr>
                      <w:rFonts w:ascii="Times New Roman" w:eastAsia="宋体"/>
                      <w:sz w:val="24"/>
                      <w:szCs w:val="24"/>
                    </w:rPr>
                    <w:t>数据集：</w:t>
                  </w:r>
                </w:p>
              </w:tc>
              <w:tc>
                <w:tcPr>
                  <w:tcW w:w="3750" w:type="pct"/>
                  <w:tcBorders>
                    <w:top w:val="nil"/>
                    <w:left w:val="nil"/>
                    <w:bottom w:val="single" w:color="000000" w:sz="4" w:space="0"/>
                    <w:right w:val="nil"/>
                  </w:tcBorders>
                  <w:tcMar>
                    <w:top w:w="60" w:type="dxa"/>
                    <w:left w:w="80" w:type="dxa"/>
                    <w:bottom w:w="60" w:type="dxa"/>
                    <w:right w:w="0" w:type="dxa"/>
                  </w:tcMar>
                </w:tcPr>
                <w:p w14:paraId="7E47FB74">
                  <w:pPr>
                    <w:spacing w:before="60" w:after="60" w:line="400" w:lineRule="auto"/>
                    <w:jc w:val="left"/>
                  </w:pPr>
                  <w:r>
                    <w:rPr>
                      <w:rFonts w:ascii="Times New Roman" w:eastAsia="宋体"/>
                      <w:sz w:val="24"/>
                      <w:szCs w:val="24"/>
                    </w:rPr>
                    <w:t>SST-5 / FPB（auditor_sentiment）</w:t>
                  </w:r>
                </w:p>
              </w:tc>
            </w:tr>
            <w:tr w14:paraId="386BD52C">
              <w:trPr>
                <w:jc w:val="center"/>
              </w:trPr>
              <w:tc>
                <w:tcPr>
                  <w:tcW w:w="1250" w:type="pct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6EB70F27">
                  <w:pPr>
                    <w:spacing w:before="60" w:after="60" w:line="400" w:lineRule="auto"/>
                    <w:jc w:val="left"/>
                  </w:pPr>
                  <w:r>
                    <w:rPr>
                      <w:rFonts w:ascii="Times New Roman" w:eastAsia="宋体"/>
                      <w:sz w:val="24"/>
                      <w:szCs w:val="24"/>
                    </w:rPr>
                    <w:t>实验周期：</w:t>
                  </w:r>
                </w:p>
              </w:tc>
              <w:tc>
                <w:tcPr>
                  <w:tcW w:w="3750" w:type="pct"/>
                  <w:tcBorders>
                    <w:top w:val="nil"/>
                    <w:left w:val="nil"/>
                    <w:bottom w:val="single" w:color="000000" w:sz="4" w:space="0"/>
                    <w:right w:val="nil"/>
                  </w:tcBorders>
                  <w:tcMar>
                    <w:top w:w="60" w:type="dxa"/>
                    <w:left w:w="80" w:type="dxa"/>
                    <w:bottom w:w="60" w:type="dxa"/>
                    <w:right w:w="0" w:type="dxa"/>
                  </w:tcMar>
                </w:tcPr>
                <w:p w14:paraId="4E6B88CD">
                  <w:pPr>
                    <w:spacing w:before="60" w:after="60" w:line="400" w:lineRule="auto"/>
                    <w:jc w:val="left"/>
                  </w:pPr>
                  <w:r>
                    <w:rPr>
                      <w:rFonts w:ascii="Times New Roman" w:eastAsia="宋体"/>
                      <w:sz w:val="24"/>
                      <w:szCs w:val="24"/>
                    </w:rPr>
                    <w:t>2026-09-30 至 2026-10-06</w:t>
                  </w:r>
                </w:p>
              </w:tc>
            </w:tr>
          </w:tbl>
          <w:p w14:paraId="7C273E65">
            <w:pPr>
              <w:spacing w:before="4962"/>
            </w:pPr>
          </w:p>
          <w:p w14:paraId="75D98EC8">
            <w:pPr>
              <w:jc w:val="center"/>
            </w:pPr>
            <w:r>
              <w:rPr>
                <w:rFonts w:ascii="Times New Roman" w:eastAsia="宋体"/>
                <w:color w:val="404040"/>
                <w:sz w:val="24"/>
                <w:szCs w:val="24"/>
              </w:rPr>
              <w:t>2026 年 10 月</w:t>
            </w:r>
          </w:p>
        </w:tc>
      </w:tr>
    </w:tbl>
    <w:p w14:paraId="0EE6503E"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 w14:paraId="11611581">
      <w:pPr>
        <w:spacing w:after="240"/>
        <w:jc w:val="center"/>
      </w:pPr>
      <w:r>
        <w:rPr>
          <w:rFonts w:ascii="Times New Roman" w:eastAsia="黑体"/>
          <w:b/>
          <w:bCs/>
          <w:color w:val="1F3864"/>
          <w:sz w:val="32"/>
          <w:szCs w:val="32"/>
        </w:rPr>
        <w:t>摘  要</w:t>
      </w:r>
    </w:p>
    <w:p w14:paraId="17308B73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语言模型在分类决策任务中普遍存在过度自信问题：模型报告的置信度显著高于其实际正确率（实验中 base 模型报告 0.73 平均置信度而实际正确率仅 0.31），使其输出概率无法用于任何可靠性承诺。本报告基于 GRPO 强化学习框架实现并验证了 RLCD（Reinforcement Learning for Calibrated Decisions）校准训练方法：在 GRPO 奖励通道只保留正确性奖励 r_correct 的同时，将多类 Brier 分数作为可微辅助损失直接加入训练损失（总损失 = GRPO 损失 + λ·Brier），使校准信号绕过组内归一化直达模型 logits。</w:t>
      </w:r>
    </w:p>
    <w:p w14:paraId="551FCB8E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在两个数据集上的实验表明：SST-5 情感分类（标签噪声较高）上，训练后准确率由 0.326 提升至 0.462，ECE 由 0.466 降至 0.090（降低 81%）；FPB 金融新闻情感分类（标签干净）上，一个 epoch 的 GRPO+RLCD 训练使准确率由 0.307 提升至 0.751（+44.5 个百分点），ECE 由 0.420 降至 0.170（降低 59%）。与 SFT、CPT 两种基线的对照显示三种范式在准确率与校准两个轴上各有取舍。功能化评估（风险-覆盖曲线）进一步表明：校准后模型的置信度可直接作为级联调度信号——在保持 90% 直答准确率的约束下，42% 的请求可由 0.6B 小模型直答（过自信的 base 模型为 0%），为推理成本优化提供了量化依据。</w:t>
      </w:r>
    </w:p>
    <w:p w14:paraId="5CBB6AA3">
      <w:pPr>
        <w:spacing w:after="80" w:line="312" w:lineRule="auto"/>
        <w:ind w:firstLine="480"/>
        <w:jc w:val="both"/>
      </w:pPr>
      <w:r>
        <w:rPr>
          <w:rFonts w:ascii="Times New Roman" w:eastAsia="宋体"/>
          <w:b/>
          <w:bCs/>
          <w:color w:val="1A1A1A"/>
          <w:sz w:val="24"/>
          <w:szCs w:val="24"/>
        </w:rPr>
        <w:t>关键词：</w:t>
      </w:r>
      <w:r>
        <w:rPr>
          <w:rFonts w:ascii="Times New Roman" w:eastAsia="宋体"/>
          <w:color w:val="1A1A1A"/>
          <w:sz w:val="24"/>
          <w:szCs w:val="24"/>
        </w:rPr>
        <w:t>置信度校准；GRPO；强化学习；Brier 分数；风险-覆盖曲线；级联调度</w:t>
      </w:r>
    </w:p>
    <w:p w14:paraId="086E2256"/>
    <w:p w14:paraId="7F2668DA">
      <w:pPr>
        <w:sectPr>
          <w:footerReference r:id="rId5" w:type="default"/>
          <w:pgSz w:w="11906" w:h="16838"/>
          <w:pgMar w:top="1440" w:right="1417" w:bottom="1440" w:left="1701" w:header="708" w:footer="708" w:gutter="0"/>
          <w:pgNumType w:fmt="upperRoman" w:start="1"/>
          <w:cols w:space="720" w:num="1"/>
          <w:docGrid w:linePitch="360" w:charSpace="0"/>
        </w:sectPr>
      </w:pPr>
    </w:p>
    <w:p w14:paraId="579B59AA">
      <w:pPr>
        <w:spacing w:after="240"/>
        <w:jc w:val="center"/>
      </w:pPr>
      <w:r>
        <w:rPr>
          <w:rFonts w:ascii="Times New Roman" w:eastAsia="黑体"/>
          <w:b/>
          <w:bCs/>
          <w:color w:val="1F3864"/>
          <w:sz w:val="32"/>
          <w:szCs w:val="32"/>
        </w:rPr>
        <w:t>目  录</w:t>
      </w:r>
    </w:p>
    <w:sdt>
      <w:sdtPr>
        <w:alias w:val="目录"/>
        <w:id w:val="360018105"/>
      </w:sdtPr>
      <w:sdtContent>
        <w:p w14:paraId="2F586731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5C11DC81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"_Toc100000" </w:instrText>
          </w:r>
          <w:r>
            <w:fldChar w:fldCharType="separate"/>
          </w:r>
          <w:r>
            <w:rPr>
              <w:rStyle w:val="18"/>
            </w:rPr>
            <w:t>1  引言</w:t>
          </w:r>
          <w:r>
            <w:tab/>
          </w:r>
          <w:r>
            <w:fldChar w:fldCharType="begin"/>
          </w:r>
          <w:r>
            <w:instrText xml:space="preserve"> PAGEREF _Toc100000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5E8420F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"_Toc100001" </w:instrText>
          </w:r>
          <w:r>
            <w:fldChar w:fldCharType="separate"/>
          </w:r>
          <w:r>
            <w:rPr>
              <w:rStyle w:val="18"/>
            </w:rPr>
            <w:t>1.1  问题：语言模型决策的过度自信</w:t>
          </w:r>
          <w:r>
            <w:tab/>
          </w:r>
          <w:r>
            <w:fldChar w:fldCharType="begin"/>
          </w:r>
          <w:r>
            <w:instrText xml:space="preserve"> PAGEREF _Toc100001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B792828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"_Toc100002" </w:instrText>
          </w:r>
          <w:r>
            <w:fldChar w:fldCharType="separate"/>
          </w:r>
          <w:r>
            <w:rPr>
              <w:rStyle w:val="18"/>
            </w:rPr>
            <w:t>1.2  方法：GRPO + RLCD 校准训练</w:t>
          </w:r>
          <w:r>
            <w:tab/>
          </w:r>
          <w:r>
            <w:fldChar w:fldCharType="begin"/>
          </w:r>
          <w:r>
            <w:instrText xml:space="preserve"> PAGEREF _Toc100002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E3AC450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"_Toc100003" </w:instrText>
          </w:r>
          <w:r>
            <w:fldChar w:fldCharType="separate"/>
          </w:r>
          <w:r>
            <w:rPr>
              <w:rStyle w:val="18"/>
            </w:rPr>
            <w:t>1.3  实验贡献</w:t>
          </w:r>
          <w:r>
            <w:tab/>
          </w:r>
          <w:r>
            <w:fldChar w:fldCharType="begin"/>
          </w:r>
          <w:r>
            <w:instrText xml:space="preserve"> PAGEREF _Toc100003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E4F7959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"_Toc100004" </w:instrText>
          </w:r>
          <w:r>
            <w:fldChar w:fldCharType="separate"/>
          </w:r>
          <w:r>
            <w:rPr>
              <w:rStyle w:val="18"/>
            </w:rPr>
            <w:t>2  实验设置</w:t>
          </w:r>
          <w:r>
            <w:tab/>
          </w:r>
          <w:r>
            <w:fldChar w:fldCharType="begin"/>
          </w:r>
          <w:r>
            <w:instrText xml:space="preserve"> PAGEREF _Toc100004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52F4E03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"_Toc100005" </w:instrText>
          </w:r>
          <w:r>
            <w:fldChar w:fldCharType="separate"/>
          </w:r>
          <w:r>
            <w:rPr>
              <w:rStyle w:val="18"/>
            </w:rPr>
            <w:t>2.1  硬件与软件环境</w:t>
          </w:r>
          <w:r>
            <w:tab/>
          </w:r>
          <w:r>
            <w:fldChar w:fldCharType="begin"/>
          </w:r>
          <w:r>
            <w:instrText xml:space="preserve"> PAGEREF _Toc100005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EC4AF45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"_Toc100006" </w:instrText>
          </w:r>
          <w:r>
            <w:fldChar w:fldCharType="separate"/>
          </w:r>
          <w:r>
            <w:rPr>
              <w:rStyle w:val="18"/>
            </w:rPr>
            <w:t>2.2  数据集</w:t>
          </w:r>
          <w:r>
            <w:tab/>
          </w:r>
          <w:r>
            <w:fldChar w:fldCharType="begin"/>
          </w:r>
          <w:r>
            <w:instrText xml:space="preserve"> PAGEREF _Toc100006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BDA6807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"_Toc100007" </w:instrText>
          </w:r>
          <w:r>
            <w:fldChar w:fldCharType="separate"/>
          </w:r>
          <w:r>
            <w:rPr>
              <w:rStyle w:val="18"/>
            </w:rPr>
            <w:t>2.3  方法实现：CalibratedGRPOTrainer</w:t>
          </w:r>
          <w:r>
            <w:tab/>
          </w:r>
          <w:r>
            <w:fldChar w:fldCharType="begin"/>
          </w:r>
          <w:r>
            <w:instrText xml:space="preserve"> PAGEREF _Toc100007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089D67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"_Toc100008" </w:instrText>
          </w:r>
          <w:r>
            <w:fldChar w:fldCharType="separate"/>
          </w:r>
          <w:r>
            <w:rPr>
              <w:rStyle w:val="18"/>
            </w:rPr>
            <w:t>3  机制分析：校准为什么必须进损失通道</w:t>
          </w:r>
          <w:r>
            <w:tab/>
          </w:r>
          <w:r>
            <w:fldChar w:fldCharType="begin"/>
          </w:r>
          <w:r>
            <w:instrText xml:space="preserve"> PAGEREF _Toc100008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CC979A2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"_Toc100009" </w:instrText>
          </w:r>
          <w:r>
            <w:fldChar w:fldCharType="separate"/>
          </w:r>
          <w:r>
            <w:rPr>
              <w:rStyle w:val="18"/>
            </w:rPr>
            <w:t>4  实验结果</w:t>
          </w:r>
          <w:r>
            <w:tab/>
          </w:r>
          <w:r>
            <w:fldChar w:fldCharType="begin"/>
          </w:r>
          <w:r>
            <w:instrText xml:space="preserve"> PAGEREF _Toc100009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D0DBA33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"_Toc100010" </w:instrText>
          </w:r>
          <w:r>
            <w:fldChar w:fldCharType="separate"/>
          </w:r>
          <w:r>
            <w:rPr>
              <w:rStyle w:val="18"/>
            </w:rPr>
            <w:t>4.1  方案 A/B 对照（SST-5）</w:t>
          </w:r>
          <w:r>
            <w:tab/>
          </w:r>
          <w:r>
            <w:fldChar w:fldCharType="begin"/>
          </w:r>
          <w:r>
            <w:instrText xml:space="preserve"> PAGEREF _Toc100010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90F9528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"_Toc100011" </w:instrText>
          </w:r>
          <w:r>
            <w:fldChar w:fldCharType="separate"/>
          </w:r>
          <w:r>
            <w:rPr>
              <w:rStyle w:val="18"/>
            </w:rPr>
            <w:t>4.2  数据规模效应（SST-5）</w:t>
          </w:r>
          <w:r>
            <w:tab/>
          </w:r>
          <w:r>
            <w:fldChar w:fldCharType="begin"/>
          </w:r>
          <w:r>
            <w:instrText xml:space="preserve"> PAGEREF _Toc100011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5CA0F4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"_Toc100012" </w:instrText>
          </w:r>
          <w:r>
            <w:fldChar w:fldCharType="separate"/>
          </w:r>
          <w:r>
            <w:rPr>
              <w:rStyle w:val="18"/>
            </w:rPr>
            <w:t>4.3  四范式对照（FPB）</w:t>
          </w:r>
          <w:r>
            <w:tab/>
          </w:r>
          <w:r>
            <w:fldChar w:fldCharType="begin"/>
          </w:r>
          <w:r>
            <w:instrText xml:space="preserve"> PAGEREF _Toc100012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EABA00B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"_Toc100013" </w:instrText>
          </w:r>
          <w:r>
            <w:fldChar w:fldCharType="separate"/>
          </w:r>
          <w:r>
            <w:rPr>
              <w:rStyle w:val="18"/>
            </w:rPr>
            <w:t>4.4  残余过自信的压制（λ 与 epoch 调整）</w:t>
          </w:r>
          <w:r>
            <w:tab/>
          </w:r>
          <w:r>
            <w:fldChar w:fldCharType="begin"/>
          </w:r>
          <w:r>
            <w:instrText xml:space="preserve"> PAGEREF _Toc100013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435D420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"_Toc100014" </w:instrText>
          </w:r>
          <w:r>
            <w:fldChar w:fldCharType="separate"/>
          </w:r>
          <w:r>
            <w:rPr>
              <w:rStyle w:val="18"/>
            </w:rPr>
            <w:t>5  校准的功能化：风险-覆盖曲线与级联调度</w:t>
          </w:r>
          <w:r>
            <w:tab/>
          </w:r>
          <w:r>
            <w:fldChar w:fldCharType="begin"/>
          </w:r>
          <w:r>
            <w:instrText xml:space="preserve"> PAGEREF _Toc100014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D03BC08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"_Toc100015" </w:instrText>
          </w:r>
          <w:r>
            <w:fldChar w:fldCharType="separate"/>
          </w:r>
          <w:r>
            <w:rPr>
              <w:rStyle w:val="18"/>
            </w:rPr>
            <w:t>6  超参数规律</w:t>
          </w:r>
          <w:r>
            <w:tab/>
          </w:r>
          <w:r>
            <w:fldChar w:fldCharType="begin"/>
          </w:r>
          <w:r>
            <w:instrText xml:space="preserve"> PAGEREF _Toc100015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4176984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"_Toc100016" </w:instrText>
          </w:r>
          <w:r>
            <w:fldChar w:fldCharType="separate"/>
          </w:r>
          <w:r>
            <w:rPr>
              <w:rStyle w:val="18"/>
            </w:rPr>
            <w:t>6.1  λ 扫描</w:t>
          </w:r>
          <w:r>
            <w:tab/>
          </w:r>
          <w:r>
            <w:fldChar w:fldCharType="begin"/>
          </w:r>
          <w:r>
            <w:instrText xml:space="preserve"> PAGEREF _Toc100016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A7788CA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"_Toc100017" </w:instrText>
          </w:r>
          <w:r>
            <w:fldChar w:fldCharType="separate"/>
          </w:r>
          <w:r>
            <w:rPr>
              <w:rStyle w:val="18"/>
            </w:rPr>
            <w:t>6.2  组大小 G 的任务依赖定律</w:t>
          </w:r>
          <w:r>
            <w:tab/>
          </w:r>
          <w:r>
            <w:fldChar w:fldCharType="begin"/>
          </w:r>
          <w:r>
            <w:instrText xml:space="preserve"> PAGEREF _Toc100017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DCE950D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"_Toc100018" </w:instrText>
          </w:r>
          <w:r>
            <w:fldChar w:fldCharType="separate"/>
          </w:r>
          <w:r>
            <w:rPr>
              <w:rStyle w:val="18"/>
            </w:rPr>
            <w:t>7  讨论与局限</w:t>
          </w:r>
          <w:r>
            <w:tab/>
          </w:r>
          <w:r>
            <w:fldChar w:fldCharType="begin"/>
          </w:r>
          <w:r>
            <w:instrText xml:space="preserve"> PAGEREF _Toc100018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96EEB73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"_Toc100019" </w:instrText>
          </w:r>
          <w:r>
            <w:fldChar w:fldCharType="separate"/>
          </w:r>
          <w:r>
            <w:rPr>
              <w:rStyle w:val="18"/>
            </w:rPr>
            <w:t>8  结论</w:t>
          </w:r>
          <w:r>
            <w:tab/>
          </w:r>
          <w:r>
            <w:fldChar w:fldCharType="begin"/>
          </w:r>
          <w:r>
            <w:instrText xml:space="preserve"> PAGEREF _Toc100019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09EDC6E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"_Toc100020" </w:instrText>
          </w:r>
          <w:r>
            <w:fldChar w:fldCharType="separate"/>
          </w:r>
          <w:r>
            <w:rPr>
              <w:rStyle w:val="18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_Toc100020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21F5842">
          <w:pPr>
            <w:pStyle w:val="10"/>
            <w:spacing w:before="120" w:after="60"/>
          </w:pPr>
          <w:r>
            <w:fldChar w:fldCharType="begin"/>
          </w:r>
          <w:r>
            <w:instrText xml:space="preserve"> HYPERLINK \l "_Toc100021" </w:instrText>
          </w:r>
          <w:r>
            <w:fldChar w:fldCharType="separate"/>
          </w:r>
          <w:r>
            <w:rPr>
              <w:rStyle w:val="18"/>
            </w:rPr>
            <w:t>附录 A  相关文献综述（25 篇）</w:t>
          </w:r>
          <w:r>
            <w:tab/>
          </w:r>
          <w:r>
            <w:fldChar w:fldCharType="begin"/>
          </w:r>
          <w:r>
            <w:instrText xml:space="preserve"> PAGEREF _Toc100021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32D47D6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"_Toc100022" </w:instrText>
          </w:r>
          <w:r>
            <w:fldChar w:fldCharType="separate"/>
          </w:r>
          <w:r>
            <w:rPr>
              <w:rStyle w:val="18"/>
            </w:rPr>
            <w:t>A. GRPO 与强化学习后训练</w:t>
          </w:r>
          <w:r>
            <w:tab/>
          </w:r>
          <w:r>
            <w:fldChar w:fldCharType="begin"/>
          </w:r>
          <w:r>
            <w:instrText xml:space="preserve"> PAGEREF _Toc100022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39D5A1C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"_Toc100023" </w:instrText>
          </w:r>
          <w:r>
            <w:fldChar w:fldCharType="separate"/>
          </w:r>
          <w:r>
            <w:rPr>
              <w:rStyle w:val="18"/>
            </w:rPr>
            <w:t>B. 置信度校准与过度自信</w:t>
          </w:r>
          <w:r>
            <w:tab/>
          </w:r>
          <w:r>
            <w:fldChar w:fldCharType="begin"/>
          </w:r>
          <w:r>
            <w:instrText xml:space="preserve"> PAGEREF _Toc100023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85C6708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"_Toc100024" </w:instrText>
          </w:r>
          <w:r>
            <w:fldChar w:fldCharType="separate"/>
          </w:r>
          <w:r>
            <w:rPr>
              <w:rStyle w:val="18"/>
            </w:rPr>
            <w:t>C. 可验证奖励与 Reward Hacking</w:t>
          </w:r>
          <w:r>
            <w:tab/>
          </w:r>
          <w:r>
            <w:fldChar w:fldCharType="begin"/>
          </w:r>
          <w:r>
            <w:instrText xml:space="preserve"> PAGEREF _Toc100024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07B7690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"_Toc100025" </w:instrText>
          </w:r>
          <w:r>
            <w:fldChar w:fldCharType="separate"/>
          </w:r>
          <w:r>
            <w:rPr>
              <w:rStyle w:val="18"/>
            </w:rPr>
            <w:t>D. 级联调度与选择性预测</w:t>
          </w:r>
          <w:r>
            <w:tab/>
          </w:r>
          <w:r>
            <w:fldChar w:fldCharType="begin"/>
          </w:r>
          <w:r>
            <w:instrText xml:space="preserve"> PAGEREF _Toc100025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2E83ADF">
          <w:pPr>
            <w:pStyle w:val="12"/>
            <w:spacing w:before="120" w:after="60"/>
            <w:ind w:left="360"/>
          </w:pPr>
          <w:r>
            <w:fldChar w:fldCharType="begin"/>
          </w:r>
          <w:r>
            <w:instrText xml:space="preserve"> HYPERLINK \l "_Toc100026" </w:instrText>
          </w:r>
          <w:r>
            <w:fldChar w:fldCharType="separate"/>
          </w:r>
          <w:r>
            <w:rPr>
              <w:rStyle w:val="18"/>
            </w:rPr>
            <w:t>E. 数据集与基座</w:t>
          </w:r>
          <w:r>
            <w:tab/>
          </w:r>
          <w:r>
            <w:fldChar w:fldCharType="begin"/>
          </w:r>
          <w:r>
            <w:instrText xml:space="preserve"> PAGEREF _Toc100026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E67B1CE">
          <w:r>
            <w:fldChar w:fldCharType="end"/>
          </w:r>
        </w:p>
      </w:sdtContent>
    </w:sdt>
    <w:p w14:paraId="654A3CC8">
      <w:pPr>
        <w:spacing w:before="120"/>
        <w:jc w:val="center"/>
      </w:pPr>
      <w:r>
        <w:rPr>
          <w:i/>
          <w:iCs/>
          <w:color w:val="888888"/>
          <w:sz w:val="18"/>
          <w:szCs w:val="18"/>
        </w:rPr>
        <w:t>（提示：在 Word 中右键目录 → 更新域 → 更新整个目录，以刷新页码）</w:t>
      </w:r>
    </w:p>
    <w:p w14:paraId="73D8DBCE"/>
    <w:p w14:paraId="002CEB00">
      <w:pPr>
        <w:sectPr>
          <w:pgSz w:w="11906" w:h="16838"/>
          <w:pgMar w:top="1440" w:right="1417" w:bottom="1440" w:left="1701" w:header="708" w:footer="708" w:gutter="0"/>
          <w:pgNumType w:fmt="upperRoman"/>
          <w:cols w:space="720" w:num="1"/>
          <w:docGrid w:linePitch="360" w:charSpace="0"/>
        </w:sectPr>
      </w:pPr>
    </w:p>
    <w:p w14:paraId="52B2B1AD">
      <w:pPr>
        <w:pStyle w:val="2"/>
        <w:spacing w:before="360" w:after="160"/>
      </w:pPr>
      <w:bookmarkStart w:id="0" w:name="_Toc100000"/>
      <w:r>
        <w:rPr>
          <w:rFonts w:ascii="Times New Roman" w:eastAsia="黑体"/>
          <w:b/>
          <w:bCs/>
          <w:color w:val="1F3864"/>
          <w:sz w:val="32"/>
          <w:szCs w:val="32"/>
        </w:rPr>
        <w:t>1  引言</w:t>
      </w:r>
      <w:bookmarkEnd w:id="0"/>
    </w:p>
    <w:p w14:paraId="2AEF7D93">
      <w:pPr>
        <w:pStyle w:val="3"/>
        <w:spacing w:before="280" w:after="120"/>
      </w:pPr>
      <w:bookmarkStart w:id="1" w:name="_Toc100001"/>
      <w:r>
        <w:rPr>
          <w:rFonts w:ascii="Times New Roman" w:eastAsia="黑体"/>
          <w:b/>
          <w:bCs/>
          <w:color w:val="2E5B8F"/>
          <w:sz w:val="28"/>
          <w:szCs w:val="28"/>
        </w:rPr>
        <w:t>1.1  问题：语言模型决策的过度自信</w:t>
      </w:r>
      <w:bookmarkEnd w:id="1"/>
    </w:p>
    <w:p w14:paraId="0C074278">
      <w:pPr>
        <w:spacing w:after="80" w:line="312" w:lineRule="auto"/>
        <w:ind w:firstLine="480"/>
        <w:jc w:val="both"/>
        <w:rPr>
          <w:rFonts w:ascii="Times New Roman" w:eastAsia="宋体"/>
          <w:color w:val="1A1A1A"/>
          <w:sz w:val="24"/>
          <w:szCs w:val="24"/>
        </w:rPr>
      </w:pPr>
      <w:r>
        <w:rPr>
          <w:rFonts w:ascii="Times New Roman" w:eastAsia="宋体"/>
          <w:color w:val="1A1A1A"/>
          <w:sz w:val="24"/>
          <w:szCs w:val="24"/>
        </w:rPr>
        <w:t>当语言模型被用于分类决策（如情感判断、意图识别、金融舆情分类）时，其输出不仅包含类别选择，还隐含一个置信度。理想情况下，报告 70% 把握的判断应当有约 70% 的实际正确率——这一性质称为概率校准（calibration）。然而实证测量表明，未经校准训练的语言模型普遍过度自信：本项目在 FPB 金融新闻数据集上的实测显示，Qwen3-0.6B 的 zero-shot 平均置信度为 0.726，而实际正确率仅 0.307；在 SST-5 上的表现类似（置信度 0.79 对正确率 0.33）。过自信的置信度无法作为下游系统的可靠性依据，也直接阻碍了“小模型直答、大模型兜底”的级联成本优化。</w:t>
      </w:r>
    </w:p>
    <w:p w14:paraId="63D30C02">
      <w:pPr>
        <w:spacing w:after="80" w:line="312" w:lineRule="auto"/>
        <w:jc w:val="both"/>
        <w:rPr>
          <w:rFonts w:hint="eastAsia"/>
          <w:b/>
          <w:bCs/>
          <w:color w:val="1A1A1A"/>
          <w:sz w:val="30"/>
          <w:szCs w:val="30"/>
          <w:lang w:val="en-US" w:eastAsia="zh-CN"/>
        </w:rPr>
      </w:pPr>
      <w:r>
        <w:rPr>
          <w:rFonts w:hint="eastAsia"/>
          <w:b/>
          <w:bCs/>
          <w:color w:val="1A1A1A"/>
          <w:sz w:val="30"/>
          <w:szCs w:val="30"/>
          <w:lang w:val="en-US" w:eastAsia="zh-CN"/>
        </w:rPr>
        <w:t>项目意义</w:t>
      </w:r>
    </w:p>
    <w:p w14:paraId="3FF05C6B">
      <w:pPr>
        <w:spacing w:after="80" w:line="312" w:lineRule="auto"/>
        <w:ind w:firstLine="480" w:firstLineChars="200"/>
        <w:jc w:val="both"/>
        <w:rPr>
          <w:rFonts w:hint="default"/>
          <w:color w:val="1A1A1A"/>
          <w:sz w:val="24"/>
          <w:szCs w:val="24"/>
          <w:lang w:val="en-US" w:eastAsia="zh-CN"/>
        </w:rPr>
      </w:pPr>
      <w:r>
        <w:rPr>
          <w:rFonts w:hint="eastAsia" w:ascii="Helvetica Neue" w:hAnsi="Helvetica Neue" w:eastAsia="宋体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  <w:t>本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项目的核心意义，在于用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  <w:highlight w:val="yellow"/>
        </w:rPr>
        <w:t>极低的成本（单卡 0.6B 小模型）解决了金融文本 AI 最致命的“信任赤字”问题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——让模型的“自信程度”与“实际正确率”真正对齐，从而把 AI 的情绪判断从“不可用的参考”变成了“可执行的信号”</w:t>
      </w:r>
      <w:bookmarkStart w:id="27" w:name="_GoBack"/>
      <w:bookmarkEnd w:id="27"/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  <w:highlight w:val="yellow"/>
        </w:rPr>
        <w:t>金融领域对情绪分类的需求极其旺盛——财报电话会、央行声明、财经新闻、社交媒体舆情，每一秒都有海量文本需要实时判断“利好还是利空”。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</w:rPr>
        <w:t>但传统模型的致命缺陷在于：它经常用 0.9 的置信度说出只有 0.3 正确率的话。在交易和风控场景中，一个过度自信的错误信号比没有信号更危险，因为它会直接误导仓位决策和风险敞口管理。GRPO+RLCD 方案在 FPB 上把 ECE 从 0.420 压到 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0.170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</w:rPr>
        <w:t>，准确率从 0.307 拉到 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0.751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</w:rPr>
        <w:t>，这意味着：模型报出的置信度第一次具备了金融场景要求的</w:t>
      </w: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24"/>
          <w:szCs w:val="24"/>
        </w:rPr>
        <w:t>可靠性边界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</w:rPr>
        <w:t>。风控系统可以据此设定硬阈值——置信度低于某条线就触发人工复核，高于某条线才允许自动执行。这在过去是不可实现的，因为过自信的模型会把所有信号都推到高置信区间，阈值形同虚设。</w:t>
      </w:r>
    </w:p>
    <w:p w14:paraId="51D96FE5">
      <w:pPr>
        <w:pStyle w:val="3"/>
        <w:spacing w:before="280" w:after="120"/>
      </w:pPr>
      <w:bookmarkStart w:id="2" w:name="_Toc100002"/>
      <w:r>
        <w:rPr>
          <w:rFonts w:ascii="Times New Roman" w:eastAsia="黑体"/>
          <w:b/>
          <w:bCs/>
          <w:color w:val="2E5B8F"/>
          <w:sz w:val="28"/>
          <w:szCs w:val="28"/>
        </w:rPr>
        <w:t>1.2  方法：GRPO + RLCD 校准训练</w:t>
      </w:r>
      <w:bookmarkEnd w:id="2"/>
    </w:p>
    <w:p w14:paraId="103076B0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RLCD（Reinforcement Learning for Calibrated Decisions）的核心思想是在强化学习训练目标中加入 proper scoring rule（本项目采用多类 Brier 分数），利用其“说真话最优”的性质逼出校准的概率输出。本项目将该方法落地到 TRL 的 GRPOTrainer 上：奖励通道只保留正确性奖励 r_correct（选对得 1、选错得 0），同时将 Brier 分数作为可微辅助损失直接加入训练损失（total = GRPO loss + λ·Brier）。这一双通道设计的原因在第三章详细分析——校准信息只存在于模型内部的概率分布中，无法经由“采样结果→奖励→组内归一化”的奖励通道传递。</w:t>
      </w:r>
    </w:p>
    <w:p w14:paraId="2FB7E02E">
      <w:pPr>
        <w:pStyle w:val="3"/>
        <w:spacing w:before="280" w:after="120"/>
      </w:pPr>
      <w:bookmarkStart w:id="3" w:name="_Toc100003"/>
      <w:r>
        <w:rPr>
          <w:rFonts w:ascii="Times New Roman" w:eastAsia="黑体"/>
          <w:b/>
          <w:bCs/>
          <w:color w:val="2E5B8F"/>
          <w:sz w:val="28"/>
          <w:szCs w:val="28"/>
        </w:rPr>
        <w:t>1.3  实验贡献</w:t>
      </w:r>
      <w:bookmarkEnd w:id="3"/>
    </w:p>
    <w:p w14:paraId="1060AD0A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本报告的贡献包括：(1) 在 TRL 1.10 上实现了可复用的 CalibratedGRPOTrainer（覆写 compute_loss 注入 Brier 辅助损失），并通过方案 A/B 对照实验从第一性原理验证了“校准必须进损失通道”的设计选择；(2) 在 SST-5 与 FPB 两个数据集上完成了 zero-shot / CPT / SFT / GRPO+RLCD 四种范式的系统对照；(3) 完成了 λ 与组大小 G 的超参数扫描并总结出“G 的最优值由任务方差饥饿度决定”的实践定律；(4) 提出并实现了基于风险-覆盖曲线的校准功能化评估，将 ECE 改善转化为可量化的推理成本节省。</w:t>
      </w:r>
    </w:p>
    <w:p w14:paraId="379095EA">
      <w:pPr>
        <w:pStyle w:val="2"/>
        <w:spacing w:before="360" w:after="160"/>
      </w:pPr>
      <w:bookmarkStart w:id="4" w:name="_Toc100004"/>
      <w:r>
        <w:rPr>
          <w:rFonts w:ascii="Times New Roman" w:eastAsia="黑体"/>
          <w:b/>
          <w:bCs/>
          <w:color w:val="1F3864"/>
          <w:sz w:val="32"/>
          <w:szCs w:val="32"/>
        </w:rPr>
        <w:t>2  实验设置</w:t>
      </w:r>
      <w:bookmarkEnd w:id="4"/>
    </w:p>
    <w:p w14:paraId="592A8BA5">
      <w:pPr>
        <w:pStyle w:val="3"/>
        <w:spacing w:before="280" w:after="120"/>
      </w:pPr>
      <w:bookmarkStart w:id="5" w:name="_Toc100005"/>
      <w:r>
        <w:rPr>
          <w:rFonts w:ascii="Times New Roman" w:eastAsia="黑体"/>
          <w:b/>
          <w:bCs/>
          <w:color w:val="2E5B8F"/>
          <w:sz w:val="28"/>
          <w:szCs w:val="28"/>
        </w:rPr>
        <w:t>2.1  硬件与软件环境</w:t>
      </w:r>
      <w:bookmarkEnd w:id="5"/>
    </w:p>
    <w:p w14:paraId="3B0DB435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所有实验在单张 NVIDIA A800-80GB GPU 上完成（共享服务器 pywang-gpu03）。训练框架为 TRL 1.10.0（GRPOTrainer）配合 vLLM 0.19.1 colocate 生成模式；基座模型为本地部署的 Qwen3-0.6B（关闭思考模式）。实验跟踪使用 wandb（项目 grpo-trl-replica 与 grpo-rlcd）。代码执行类奖励在隔离子进程中判定（8 秒超时、最小环境变量）。</w:t>
      </w:r>
    </w:p>
    <w:p w14:paraId="63E01948">
      <w:pPr>
        <w:pStyle w:val="3"/>
        <w:spacing w:before="280" w:after="120"/>
      </w:pPr>
      <w:bookmarkStart w:id="6" w:name="_Toc100006"/>
      <w:r>
        <w:rPr>
          <w:rFonts w:ascii="Times New Roman" w:eastAsia="黑体"/>
          <w:b/>
          <w:bCs/>
          <w:color w:val="2E5B8F"/>
          <w:sz w:val="28"/>
          <w:szCs w:val="28"/>
        </w:rPr>
        <w:t>2.2  数据集</w:t>
      </w:r>
      <w:bookmarkEnd w:id="6"/>
    </w:p>
    <w:p w14:paraId="7EF3CE4C">
      <w:pPr>
        <w:keepNext/>
        <w:spacing w:before="200" w:after="100"/>
        <w:jc w:val="center"/>
      </w:pPr>
      <w:r>
        <w:rPr>
          <w:rFonts w:ascii="Times New Roman" w:eastAsia="黑体"/>
          <w:b/>
          <w:bCs/>
          <w:color w:val="1F3864"/>
          <w:sz w:val="21"/>
          <w:szCs w:val="21"/>
        </w:rPr>
        <w:t>表 1  两个数据集的构成</w:t>
      </w:r>
    </w:p>
    <w:tbl>
      <w:tblPr>
        <w:tblStyle w:val="15"/>
        <w:tblW w:w="5000" w:type="pct"/>
        <w:tblInd w:w="0" w:type="dxa"/>
        <w:tblBorders>
          <w:top w:val="single" w:color="1F3864" w:sz="8" w:space="0"/>
          <w:left w:val="none" w:color="FFFFFF" w:sz="0" w:space="0"/>
          <w:bottom w:val="single" w:color="1F3864" w:sz="8" w:space="0"/>
          <w:right w:val="none" w:color="FFFFFF" w:sz="0" w:space="0"/>
          <w:insideH w:val="single" w:color="B0B8C4" w:sz="4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8"/>
        <w:gridCol w:w="2157"/>
        <w:gridCol w:w="2696"/>
        <w:gridCol w:w="1079"/>
        <w:gridCol w:w="1618"/>
      </w:tblGrid>
      <w:tr w14:paraId="4281BBB6">
        <w:trPr>
          <w:cantSplit/>
          <w:tblHeader/>
        </w:trPr>
        <w:tc>
          <w:tcPr>
            <w:tcW w:w="8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DCD1A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数据集</w:t>
            </w:r>
          </w:p>
        </w:tc>
        <w:tc>
          <w:tcPr>
            <w:tcW w:w="12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B35A2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任务</w:t>
            </w:r>
          </w:p>
        </w:tc>
        <w:tc>
          <w:tcPr>
            <w:tcW w:w="15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DE878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规模（train/val/test）</w:t>
            </w:r>
          </w:p>
        </w:tc>
        <w:tc>
          <w:tcPr>
            <w:tcW w:w="6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B8025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类别数</w:t>
            </w:r>
          </w:p>
        </w:tc>
        <w:tc>
          <w:tcPr>
            <w:tcW w:w="9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AA2E5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标签质量</w:t>
            </w:r>
          </w:p>
        </w:tc>
      </w:tr>
      <w:tr w14:paraId="415DE62F"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8C8AB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SST-5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FCB6C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影评情感分类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D5469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8544 / 1101 / 2210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737F1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5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959C4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细粒度边界主观，文献天花板约 55%</w:t>
            </w:r>
          </w:p>
        </w:tc>
      </w:tr>
      <w:tr w14:paraId="29D54671">
        <w:trPr>
          <w:cantSplit/>
        </w:trPr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DE487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FPB</w:t>
            </w:r>
          </w:p>
        </w:tc>
        <w:tc>
          <w:tcPr>
            <w:tcW w:w="12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2EBE0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金融新闻情感分类</w:t>
            </w:r>
          </w:p>
        </w:tc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19661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3877 / 300（切分）/ 969</w:t>
            </w:r>
          </w:p>
        </w:tc>
        <w:tc>
          <w:tcPr>
            <w:tcW w:w="6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B5C98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3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2E427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标注者全票同意（allagree），天花板高</w:t>
            </w:r>
          </w:p>
        </w:tc>
      </w:tr>
    </w:tbl>
    <w:p w14:paraId="12C8FCC2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两个数据集形成互补：SST-5 代表标签噪声较高的主观任务，FPB 代表标签干净的领域任务。二者对照用于回答“标签质量如何决定训练收益天花板”。</w:t>
      </w:r>
    </w:p>
    <w:p w14:paraId="51130D56">
      <w:pPr>
        <w:pStyle w:val="3"/>
        <w:spacing w:before="280" w:after="120"/>
      </w:pPr>
      <w:bookmarkStart w:id="7" w:name="_Toc100007"/>
      <w:r>
        <w:rPr>
          <w:rFonts w:ascii="Times New Roman" w:eastAsia="黑体"/>
          <w:b/>
          <w:bCs/>
          <w:color w:val="2E5B8F"/>
          <w:sz w:val="28"/>
          <w:szCs w:val="28"/>
        </w:rPr>
        <w:t>2.3  方法实现：CalibratedGRPOTrainer</w:t>
      </w:r>
      <w:bookmarkEnd w:id="7"/>
    </w:p>
    <w:p w14:paraId="36477DFB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方案 A 的实现要点：(1) 覆写 _generate_and_score_completions 将数据集列 gold 注回训练输入（TRL 默认只把额外列传给奖励函数的关键字参数）；(2) 覆写 compute_loss，在标准 GRPO 损失之外做一次前向，取首个 completion token 位置上候选数字 token（“0”~“N-1”及其空格前缀变体）的 logits，softmax 并聚合空格变体得到类别分布 p，计算多类 Brier 分数 Σ(p_k − y_k)²（y 为 gold 的 one-hot），以 λ 加权加入总损失。超参数默认：λ=0.5、G=8、温度 1.0、学习率 2e-6、batch 16。</w:t>
      </w:r>
    </w:p>
    <w:p w14:paraId="6DCB2925">
      <w:pPr>
        <w:pStyle w:val="2"/>
        <w:spacing w:before="360" w:after="160"/>
      </w:pPr>
      <w:bookmarkStart w:id="8" w:name="_Toc100008"/>
      <w:r>
        <w:rPr>
          <w:rFonts w:ascii="Times New Roman" w:eastAsia="黑体"/>
          <w:b/>
          <w:bCs/>
          <w:color w:val="1F3864"/>
          <w:sz w:val="32"/>
          <w:szCs w:val="32"/>
        </w:rPr>
        <w:t>3  机制分析：校准为什么必须进损失通道</w:t>
      </w:r>
      <w:bookmarkEnd w:id="8"/>
    </w:p>
    <w:p w14:paraId="224F134B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RLCD 的直接实现（方案 B）是把按采样动作计分的校准项放进奖励函数列表并配权重。但实验与理论分析均表明该方案严格无效，原因有三层。第一，信息层：GRPO 的奖励函数在采样完成后运行，只能观察到采样结果（模型吐出的类别编号），而校准是模型内部概率分布的属性——两个准确率相同但置信特性不同的模型，其采样结果在统计上不可区分，因此任何以采样结果为输入的奖励函数对校准的信号严格为零。第二，代数层：单 token 采样拿不到分布，方案 B 的校准项退化为与 r_correct 逐位相同的数字，加权求和后经组内归一化（减均值除标准差）严格等价于单奖励训练。第三，梯度层：即使通过修改框架把完整分布送入奖励函数，奖励返回值也只是计算图之外的常数，只能给采样加权，无法对 logits 产生直接梯度；而 Brier 作为损失通道的可微项，其梯度一步直达 logits。方案 A/B 的实测对照（第四章）验证了该分析。</w:t>
      </w:r>
    </w:p>
    <w:p w14:paraId="57A5048D">
      <w:pPr>
        <w:keepNext/>
        <w:spacing w:before="200" w:after="100"/>
        <w:jc w:val="center"/>
      </w:pPr>
      <w:r>
        <w:rPr>
          <w:rFonts w:ascii="Times New Roman" w:eastAsia="黑体"/>
          <w:b/>
          <w:bCs/>
          <w:color w:val="1F3864"/>
          <w:sz w:val="21"/>
          <w:szCs w:val="21"/>
        </w:rPr>
        <w:t>表 2  奖励通道与损失通道的对比</w:t>
      </w:r>
    </w:p>
    <w:tbl>
      <w:tblPr>
        <w:tblStyle w:val="15"/>
        <w:tblW w:w="5000" w:type="pct"/>
        <w:tblInd w:w="0" w:type="dxa"/>
        <w:tblBorders>
          <w:top w:val="single" w:color="1F3864" w:sz="8" w:space="0"/>
          <w:left w:val="none" w:color="FFFFFF" w:sz="0" w:space="0"/>
          <w:bottom w:val="single" w:color="1F3864" w:sz="8" w:space="0"/>
          <w:right w:val="none" w:color="FFFFFF" w:sz="0" w:space="0"/>
          <w:insideH w:val="single" w:color="B0B8C4" w:sz="4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18"/>
        <w:gridCol w:w="3685"/>
        <w:gridCol w:w="3685"/>
      </w:tblGrid>
      <w:tr w14:paraId="0216788C">
        <w:trPr>
          <w:cantSplit/>
          <w:tblHeader/>
        </w:trPr>
        <w:tc>
          <w:tcPr>
            <w:tcW w:w="9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A742D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维度</w:t>
            </w:r>
          </w:p>
        </w:tc>
        <w:tc>
          <w:tcPr>
            <w:tcW w:w="205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A1E6E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奖励通道（GRPO）</w:t>
            </w:r>
          </w:p>
        </w:tc>
        <w:tc>
          <w:tcPr>
            <w:tcW w:w="205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10CAC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损失通道（Brier）</w:t>
            </w:r>
          </w:p>
        </w:tc>
      </w:tr>
      <w:tr w14:paraId="0131A0E1"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5A284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可观察量</w:t>
            </w:r>
          </w:p>
        </w:tc>
        <w:tc>
          <w:tcPr>
            <w:tcW w:w="20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0C2D8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采样结果（类别编号）</w:t>
            </w:r>
          </w:p>
        </w:tc>
        <w:tc>
          <w:tcPr>
            <w:tcW w:w="20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AE0C1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模型内部 logits（完整分布）</w:t>
            </w:r>
          </w:p>
        </w:tc>
      </w:tr>
      <w:tr w14:paraId="751DFD3F"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09410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加工流程</w:t>
            </w:r>
          </w:p>
        </w:tc>
        <w:tc>
          <w:tcPr>
            <w:tcW w:w="20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EAC07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打分 → 组内减均值除标准差 → 优势</w:t>
            </w:r>
          </w:p>
        </w:tc>
        <w:tc>
          <w:tcPr>
            <w:tcW w:w="20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91606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Brier 对 logits 直接求导</w:t>
            </w:r>
          </w:p>
        </w:tc>
      </w:tr>
      <w:tr w14:paraId="1229F601"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AEF66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组内常量的命运</w:t>
            </w:r>
          </w:p>
        </w:tc>
        <w:tc>
          <w:tcPr>
            <w:tcW w:w="20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26B40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被减均值精确消掉</w:t>
            </w:r>
          </w:p>
        </w:tc>
        <w:tc>
          <w:tcPr>
            <w:tcW w:w="20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6CD79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不经过组内归一化</w:t>
            </w:r>
          </w:p>
        </w:tc>
      </w:tr>
      <w:tr w14:paraId="540C46F7"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B9372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梯度性质</w:t>
            </w:r>
          </w:p>
        </w:tc>
        <w:tc>
          <w:tcPr>
            <w:tcW w:w="20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4E828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间接（策略梯度，采样噪声大）</w:t>
            </w:r>
          </w:p>
        </w:tc>
        <w:tc>
          <w:tcPr>
            <w:tcW w:w="20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58359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确定性</w:t>
            </w:r>
          </w:p>
        </w:tc>
      </w:tr>
      <w:tr w14:paraId="34E38DBA">
        <w:trPr>
          <w:cantSplit/>
        </w:trPr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5BFDF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适用目标</w:t>
            </w:r>
          </w:p>
        </w:tc>
        <w:tc>
          <w:tcPr>
            <w:tcW w:w="20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65538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关于采样结果的目标（对错、格式）</w:t>
            </w:r>
          </w:p>
        </w:tc>
        <w:tc>
          <w:tcPr>
            <w:tcW w:w="20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73522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关于内部状态的目标（校准、分布形状）</w:t>
            </w:r>
          </w:p>
        </w:tc>
      </w:tr>
    </w:tbl>
    <w:p w14:paraId="2CBDC9AC">
      <w:pPr>
        <w:pStyle w:val="2"/>
        <w:spacing w:before="360" w:after="160"/>
      </w:pPr>
      <w:bookmarkStart w:id="9" w:name="_Toc100009"/>
      <w:r>
        <w:rPr>
          <w:rFonts w:ascii="Times New Roman" w:eastAsia="黑体"/>
          <w:b/>
          <w:bCs/>
          <w:color w:val="1F3864"/>
          <w:sz w:val="32"/>
          <w:szCs w:val="32"/>
        </w:rPr>
        <w:t>4  实验结果</w:t>
      </w:r>
      <w:bookmarkEnd w:id="9"/>
    </w:p>
    <w:p w14:paraId="76193F92">
      <w:pPr>
        <w:pStyle w:val="3"/>
        <w:spacing w:before="280" w:after="120"/>
      </w:pPr>
      <w:bookmarkStart w:id="10" w:name="_Toc100010"/>
      <w:r>
        <w:rPr>
          <w:rFonts w:ascii="Times New Roman" w:eastAsia="黑体"/>
          <w:b/>
          <w:bCs/>
          <w:color w:val="2E5B8F"/>
          <w:sz w:val="28"/>
          <w:szCs w:val="28"/>
        </w:rPr>
        <w:t>4.1  方案 A/B 对照（SST-5）</w:t>
      </w:r>
      <w:bookmarkEnd w:id="10"/>
    </w:p>
    <w:p w14:paraId="2C840B48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在 SST-5 上以相同配置分别运行方案 B（校准项进奖励）与方案 A（Brier 进损失）。方案 B 的行为与纯 r_correct 训练完全一致：尾部震荡、无校准锚（其校准项与正确性项逐位相同）。方案 A 则同时改善准确率与校准，且每一步都有有效梯度（组内零方差只影响奖励通道，不影响 Brier 项）。</w:t>
      </w:r>
    </w:p>
    <w:p w14:paraId="55609E39">
      <w:pPr>
        <w:pStyle w:val="3"/>
        <w:spacing w:before="280" w:after="120"/>
      </w:pPr>
      <w:bookmarkStart w:id="11" w:name="_Toc100011"/>
      <w:r>
        <w:rPr>
          <w:rFonts w:ascii="Times New Roman" w:eastAsia="黑体"/>
          <w:b/>
          <w:bCs/>
          <w:color w:val="2E5B8F"/>
          <w:sz w:val="28"/>
          <w:szCs w:val="28"/>
        </w:rPr>
        <w:t>4.2  数据规模效应（SST-5）</w:t>
      </w:r>
      <w:bookmarkEnd w:id="11"/>
    </w:p>
    <w:p w14:paraId="7D7FCAFD">
      <w:pPr>
        <w:keepNext/>
        <w:spacing w:before="200" w:after="100"/>
        <w:jc w:val="center"/>
      </w:pPr>
      <w:r>
        <w:rPr>
          <w:rFonts w:ascii="Times New Roman" w:eastAsia="黑体"/>
          <w:b/>
          <w:bCs/>
          <w:color w:val="1F3864"/>
          <w:sz w:val="21"/>
          <w:szCs w:val="21"/>
        </w:rPr>
        <w:t>表 3  SST-5 验证集上的数据规模效应</w:t>
      </w:r>
    </w:p>
    <w:tbl>
      <w:tblPr>
        <w:tblStyle w:val="15"/>
        <w:tblW w:w="5000" w:type="pct"/>
        <w:tblInd w:w="0" w:type="dxa"/>
        <w:tblBorders>
          <w:top w:val="single" w:color="1F3864" w:sz="8" w:space="0"/>
          <w:left w:val="none" w:color="FFFFFF" w:sz="0" w:space="0"/>
          <w:bottom w:val="single" w:color="1F3864" w:sz="8" w:space="0"/>
          <w:right w:val="none" w:color="FFFFFF" w:sz="0" w:space="0"/>
          <w:insideH w:val="single" w:color="B0B8C4" w:sz="4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7"/>
        <w:gridCol w:w="1977"/>
        <w:gridCol w:w="1618"/>
        <w:gridCol w:w="1798"/>
        <w:gridCol w:w="1618"/>
      </w:tblGrid>
      <w:tr w14:paraId="76DAE9FA">
        <w:trPr>
          <w:cantSplit/>
          <w:tblHeader/>
        </w:trPr>
        <w:tc>
          <w:tcPr>
            <w:tcW w:w="11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99988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配置</w:t>
            </w:r>
          </w:p>
        </w:tc>
        <w:tc>
          <w:tcPr>
            <w:tcW w:w="11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59A77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训练数据</w:t>
            </w:r>
          </w:p>
        </w:tc>
        <w:tc>
          <w:tcPr>
            <w:tcW w:w="9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3C626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accuracy</w:t>
            </w:r>
          </w:p>
        </w:tc>
        <w:tc>
          <w:tcPr>
            <w:tcW w:w="10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8FC25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ECE（10bin）</w:t>
            </w:r>
          </w:p>
        </w:tc>
        <w:tc>
          <w:tcPr>
            <w:tcW w:w="9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73A7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平均置信度</w:t>
            </w:r>
          </w:p>
        </w:tc>
      </w:tr>
      <w:tr w14:paraId="63244F19"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B08E5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base（不训练）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FD923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—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BD947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0.326</w:t>
            </w:r>
          </w:p>
        </w:tc>
        <w:tc>
          <w:tcPr>
            <w:tcW w:w="1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127F7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0.466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CC46C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0.792</w:t>
            </w:r>
          </w:p>
        </w:tc>
      </w:tr>
      <w:tr w14:paraId="6C59E165"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D31B7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GRPO+RLCD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D0722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600 条 × 1 遍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0B194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0.415</w:t>
            </w:r>
          </w:p>
        </w:tc>
        <w:tc>
          <w:tcPr>
            <w:tcW w:w="1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F6DE1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0.134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01819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0.544</w:t>
            </w:r>
          </w:p>
        </w:tc>
      </w:tr>
      <w:tr w14:paraId="2915B7AD">
        <w:trPr>
          <w:cantSplit/>
        </w:trPr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ED5D8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GRPO+RLCD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6BEA4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4000 条 × 1 遍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9BFC0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0.462</w:t>
            </w:r>
          </w:p>
        </w:tc>
        <w:tc>
          <w:tcPr>
            <w:tcW w:w="10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D4C34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0.090</w:t>
            </w:r>
          </w:p>
        </w:tc>
        <w:tc>
          <w:tcPr>
            <w:tcW w:w="9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11B1E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0.552</w:t>
            </w:r>
          </w:p>
        </w:tc>
      </w:tr>
    </w:tbl>
    <w:p w14:paraId="7C35474D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值得注意的现象是：4000 条规模下训练奖励曲线全程平坦（0.38±0.03，反映题目难度噪声），而验证集准确率大幅提升——每条数据仅见一遍时，训练奖励不反映泛化学习进度，泛化必须由独立验证集测量。ECE 随数据量持续改善（0.466→0.134→0.090），数据规模对校准的收益甚至大于对准确率的收益。</w:t>
      </w:r>
    </w:p>
    <w:p w14:paraId="258846C7">
      <w:pPr>
        <w:pStyle w:val="3"/>
        <w:spacing w:before="280" w:after="120"/>
      </w:pPr>
      <w:bookmarkStart w:id="12" w:name="_Toc100012"/>
      <w:r>
        <w:rPr>
          <w:rFonts w:ascii="Times New Roman" w:eastAsia="黑体"/>
          <w:b/>
          <w:bCs/>
          <w:color w:val="2E5B8F"/>
          <w:sz w:val="28"/>
          <w:szCs w:val="28"/>
        </w:rPr>
        <w:t>4.3  四范式对照（FPB）</w:t>
      </w:r>
      <w:bookmarkEnd w:id="12"/>
    </w:p>
    <w:p w14:paraId="7121CB41">
      <w:pPr>
        <w:keepNext/>
        <w:spacing w:before="200" w:after="100"/>
        <w:jc w:val="center"/>
      </w:pPr>
      <w:r>
        <w:rPr>
          <w:rFonts w:ascii="Times New Roman" w:eastAsia="黑体"/>
          <w:b/>
          <w:bCs/>
          <w:color w:val="1F3864"/>
          <w:sz w:val="21"/>
          <w:szCs w:val="21"/>
        </w:rPr>
        <w:t>表 4  FPB 测试集（969 题）四种训练范式对照</w:t>
      </w:r>
    </w:p>
    <w:tbl>
      <w:tblPr>
        <w:tblStyle w:val="15"/>
        <w:tblW w:w="5000" w:type="pct"/>
        <w:tblInd w:w="0" w:type="dxa"/>
        <w:tblBorders>
          <w:top w:val="single" w:color="1F3864" w:sz="8" w:space="0"/>
          <w:left w:val="none" w:color="FFFFFF" w:sz="0" w:space="0"/>
          <w:bottom w:val="single" w:color="1F3864" w:sz="8" w:space="0"/>
          <w:right w:val="none" w:color="FFFFFF" w:sz="0" w:space="0"/>
          <w:insideH w:val="single" w:color="B0B8C4" w:sz="4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37"/>
        <w:gridCol w:w="1258"/>
        <w:gridCol w:w="1438"/>
        <w:gridCol w:w="1438"/>
        <w:gridCol w:w="2517"/>
      </w:tblGrid>
      <w:tr w14:paraId="0B52D25A">
        <w:trPr>
          <w:cantSplit/>
          <w:tblHeader/>
        </w:trPr>
        <w:tc>
          <w:tcPr>
            <w:tcW w:w="13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9DC1B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范式</w:t>
            </w:r>
          </w:p>
        </w:tc>
        <w:tc>
          <w:tcPr>
            <w:tcW w:w="7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5C954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accuracy</w:t>
            </w:r>
          </w:p>
        </w:tc>
        <w:tc>
          <w:tcPr>
            <w:tcW w:w="8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D3B3F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ECE（10bin）</w:t>
            </w:r>
          </w:p>
        </w:tc>
        <w:tc>
          <w:tcPr>
            <w:tcW w:w="8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39F78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平均置信度</w:t>
            </w:r>
          </w:p>
        </w:tc>
        <w:tc>
          <w:tcPr>
            <w:tcW w:w="14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406B6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病症/特点</w:t>
            </w:r>
          </w:p>
        </w:tc>
      </w:tr>
      <w:tr w14:paraId="2A981CEE">
        <w:trPr>
          <w:cantSplit/>
        </w:trPr>
        <w:tc>
          <w:tcPr>
            <w:tcW w:w="1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01C9D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base zero-shot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A177E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0.306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C4419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0.420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1CF54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0.726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444E5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严重过自信</w:t>
            </w:r>
          </w:p>
        </w:tc>
      </w:tr>
      <w:tr w14:paraId="191F3854">
        <w:trPr>
          <w:cantSplit/>
        </w:trPr>
        <w:tc>
          <w:tcPr>
            <w:tcW w:w="1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35861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CPT（无标签 3 epochs）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A7B81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0.530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6E58A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0.084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31C62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0.589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D04DB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意外改善两轴（领域适配）</w:t>
            </w:r>
          </w:p>
        </w:tc>
      </w:tr>
      <w:tr w14:paraId="4E805F69">
        <w:trPr>
          <w:cantSplit/>
        </w:trPr>
        <w:tc>
          <w:tcPr>
            <w:tcW w:w="1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87E99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SFT（2 epochs，86 秒）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8B83C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0.839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EB270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0.506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5057C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0.333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5B5DB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准确率最高但置信度扁平（欠自信）</w:t>
            </w:r>
          </w:p>
        </w:tc>
      </w:tr>
      <w:tr w14:paraId="7106C9EC">
        <w:trPr>
          <w:cantSplit/>
        </w:trPr>
        <w:tc>
          <w:tcPr>
            <w:tcW w:w="13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EAF59">
            <w:pPr>
              <w:spacing w:line="280" w:lineRule="auto"/>
              <w:jc w:val="left"/>
              <w:rPr>
                <w:highlight w:val="yellow"/>
              </w:rPr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  <w:highlight w:val="yellow"/>
              </w:rPr>
              <w:t>GRPO+RLCD（1 epoch）</w:t>
            </w:r>
          </w:p>
        </w:tc>
        <w:tc>
          <w:tcPr>
            <w:tcW w:w="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EAE5D">
            <w:pPr>
              <w:spacing w:line="280" w:lineRule="auto"/>
              <w:jc w:val="center"/>
              <w:rPr>
                <w:highlight w:val="yellow"/>
              </w:rPr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  <w:highlight w:val="yellow"/>
              </w:rPr>
              <w:t>0.751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F96F8">
            <w:pPr>
              <w:spacing w:line="280" w:lineRule="auto"/>
              <w:jc w:val="center"/>
              <w:rPr>
                <w:highlight w:val="yellow"/>
              </w:rPr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  <w:highlight w:val="yellow"/>
              </w:rPr>
              <w:t>0.170</w:t>
            </w:r>
          </w:p>
        </w:tc>
        <w:tc>
          <w:tcPr>
            <w:tcW w:w="8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4C57D">
            <w:pPr>
              <w:spacing w:line="280" w:lineRule="auto"/>
              <w:jc w:val="center"/>
              <w:rPr>
                <w:highlight w:val="yellow"/>
              </w:rPr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  <w:highlight w:val="yellow"/>
              </w:rPr>
              <w:t>0.918</w:t>
            </w:r>
          </w:p>
        </w:tc>
        <w:tc>
          <w:tcPr>
            <w:tcW w:w="14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BC409">
            <w:pPr>
              <w:spacing w:line="280" w:lineRule="auto"/>
              <w:jc w:val="center"/>
              <w:rPr>
                <w:highlight w:val="yellow"/>
              </w:rPr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  <w:highlight w:val="yellow"/>
              </w:rPr>
              <w:t>两轴均衡，置信度可用作调度信号</w:t>
            </w:r>
          </w:p>
        </w:tc>
      </w:tr>
    </w:tbl>
    <w:p w14:paraId="0E5ED68B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SFT 以密集监督换取最高准确率（0.839），但诊断显示其首个 token 的类别分布接近均匀（诊断样本中三类的读出概率均为 0.333），正确信号仅存在于微小倾斜中，ECE 高达 0.506——赢了排序、输了概率。CPT 不使用标签却将准确率由 0.307 提升至 0.530、ECE 降至 0.084，说明领域文本适应对读出质量有实质帮助（此结果修正了“CPT 对分类无用”的预期）。GRPO+RLCD 在两轴上均衡：准确率 0.751、ECE 0.170，置信度与正确率基本对齐。</w:t>
      </w:r>
    </w:p>
    <w:p w14:paraId="63E8AFAE">
      <w:pPr>
        <w:pStyle w:val="3"/>
        <w:spacing w:before="280" w:after="120"/>
      </w:pPr>
      <w:bookmarkStart w:id="13" w:name="_Toc100013"/>
      <w:r>
        <w:rPr>
          <w:rFonts w:ascii="Times New Roman" w:eastAsia="黑体"/>
          <w:b/>
          <w:bCs/>
          <w:color w:val="2E5B8F"/>
          <w:sz w:val="28"/>
          <w:szCs w:val="28"/>
        </w:rPr>
        <w:t>4.4  残余过自信的压制（λ 与 epoch 调整）</w:t>
      </w:r>
      <w:bookmarkEnd w:id="13"/>
    </w:p>
    <w:p w14:paraId="1B968D94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E1 模型仍存在轻度过自信（平均置信度 0.918 对准确率 0.751）。为压制残余过自信，追加两组实验：延长至 2 epochs（FPB-GRPO-RLCD-E2）与将 λ 提高至 1.0（FPB-GRPO-RLCD-E1-LAM1），均在 test 集上评估。</w:t>
      </w:r>
    </w:p>
    <w:p w14:paraId="0295AE2C">
      <w:pPr>
        <w:keepNext/>
        <w:spacing w:before="200" w:after="100"/>
        <w:jc w:val="center"/>
      </w:pPr>
      <w:r>
        <w:rPr>
          <w:rFonts w:ascii="Times New Roman" w:eastAsia="黑体"/>
          <w:b/>
          <w:bCs/>
          <w:color w:val="1F3864"/>
          <w:sz w:val="21"/>
          <w:szCs w:val="21"/>
        </w:rPr>
        <w:t>表 4b  残余过自信压制实验（FPB test 969 题）</w:t>
      </w:r>
    </w:p>
    <w:tbl>
      <w:tblPr>
        <w:tblStyle w:val="15"/>
        <w:tblW w:w="5000" w:type="pct"/>
        <w:tblInd w:w="0" w:type="dxa"/>
        <w:tblBorders>
          <w:top w:val="single" w:color="1F3864" w:sz="8" w:space="0"/>
          <w:left w:val="none" w:color="FFFFFF" w:sz="0" w:space="0"/>
          <w:bottom w:val="single" w:color="1F3864" w:sz="8" w:space="0"/>
          <w:right w:val="none" w:color="FFFFFF" w:sz="0" w:space="0"/>
          <w:insideH w:val="single" w:color="B0B8C4" w:sz="4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56"/>
        <w:gridCol w:w="1977"/>
        <w:gridCol w:w="1977"/>
        <w:gridCol w:w="1977"/>
      </w:tblGrid>
      <w:tr w14:paraId="51E754F9">
        <w:trPr>
          <w:cantSplit/>
          <w:tblHeader/>
        </w:trPr>
        <w:tc>
          <w:tcPr>
            <w:tcW w:w="17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C7247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配置</w:t>
            </w:r>
          </w:p>
        </w:tc>
        <w:tc>
          <w:tcPr>
            <w:tcW w:w="11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5D6F9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accuracy</w:t>
            </w:r>
          </w:p>
        </w:tc>
        <w:tc>
          <w:tcPr>
            <w:tcW w:w="11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CE632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ECE（10bin）</w:t>
            </w:r>
          </w:p>
        </w:tc>
        <w:tc>
          <w:tcPr>
            <w:tcW w:w="11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A1A3D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平均置信度</w:t>
            </w:r>
          </w:p>
        </w:tc>
      </w:tr>
      <w:tr w14:paraId="63D57921"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3B0AE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E1：1 epoch, λ=0.5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16968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0.7513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9429C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0.1702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55D89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0.918</w:t>
            </w:r>
          </w:p>
        </w:tc>
      </w:tr>
      <w:tr w14:paraId="02E63D8D"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1944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λ=1.0（1 epoch）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3B1B5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—（与 E1 噪声内持平）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70AB3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0.1748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ED3C7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0.924</w:t>
            </w:r>
          </w:p>
        </w:tc>
      </w:tr>
      <w:tr w14:paraId="03AE35A0"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340D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E2：2 epochs, λ=0.5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8B960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0.7699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37D22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0.1638</w:t>
            </w:r>
          </w:p>
        </w:tc>
        <w:tc>
          <w:tcPr>
            <w:tcW w:w="11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85953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0.931</w:t>
            </w:r>
          </w:p>
        </w:tc>
      </w:tr>
    </w:tbl>
    <w:p w14:paraId="4AEDCEF7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结果判定：λ 提倍无效果（差异在运行噪声内）；延长至 2 epochs 使准确率再增 1.9 个百分点（0.770），但 ECE 几乎不动（0.170→0.164）、平均置信度不降反微升（0.931）。结论：残余过自信不是训练量或 λ 的问题，而是当前训练配置下的稳定均衡——准确率处于爬升期（0.75→0.77），模型置信度“跟上”正确率的校准存在滞后。要进一步压低 ECE，可能需要专门的置信度正则化设计（如在 loss 中加入置信度-正确率对齐项）或将 Brier 项与 rewards 联合调度，超出本报告范围，记为后续工作。就实用而言，0.164 的 ECE 配合 77% 的准确率已满足级联调度的需求（第 5 章）。</w:t>
      </w:r>
    </w:p>
    <w:p w14:paraId="7A8A3F07">
      <w:pPr>
        <w:pStyle w:val="2"/>
        <w:spacing w:before="360" w:after="160"/>
      </w:pPr>
      <w:bookmarkStart w:id="14" w:name="_Toc100014"/>
      <w:r>
        <w:rPr>
          <w:rFonts w:ascii="Times New Roman" w:eastAsia="黑体"/>
          <w:b/>
          <w:bCs/>
          <w:color w:val="1F3864"/>
          <w:sz w:val="32"/>
          <w:szCs w:val="32"/>
        </w:rPr>
        <w:t>5  校准的功能化：风险-覆盖曲线与级联调度</w:t>
      </w:r>
      <w:bookmarkEnd w:id="14"/>
    </w:p>
    <w:p w14:paraId="0E30126C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为回答“校准有什么用”，将模型置信度用作级联调度信号：置信度不低于阈值的请求由 0.6B 小模型直答，其余升级大模型。把测试集按置信度降序排列、从高到低扫描，记录已覆盖子集的实际准确率，得到风险-覆盖曲线（图 1）。</w:t>
      </w:r>
    </w:p>
    <w:p w14:paraId="3CD1473C">
      <w:pPr>
        <w:spacing w:before="120" w:after="40"/>
        <w:jc w:val="center"/>
      </w:pPr>
      <w:r>
        <w:drawing>
          <wp:inline distT="0" distB="0" distL="0" distR="0">
            <wp:extent cx="5334000" cy="36671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CDA3">
      <w:pPr>
        <w:spacing w:before="60" w:after="200"/>
        <w:jc w:val="center"/>
      </w:pPr>
      <w:r>
        <w:rPr>
          <w:rFonts w:ascii="Times New Roman" w:eastAsia="宋体"/>
          <w:i/>
          <w:iCs/>
          <w:color w:val="555555"/>
          <w:sz w:val="20"/>
          <w:szCs w:val="20"/>
        </w:rPr>
        <w:t>图 1  FPB 测试集风险-覆盖曲线：base（过自信）与 GRPO+RLCD 对照</w:t>
      </w:r>
    </w:p>
    <w:p w14:paraId="6C90A369">
      <w:pPr>
        <w:keepNext/>
        <w:spacing w:before="200" w:after="100"/>
        <w:jc w:val="center"/>
      </w:pPr>
      <w:r>
        <w:rPr>
          <w:rFonts w:ascii="Times New Roman" w:eastAsia="黑体"/>
          <w:b/>
          <w:bCs/>
          <w:color w:val="1F3864"/>
          <w:sz w:val="21"/>
          <w:szCs w:val="21"/>
        </w:rPr>
        <w:t>表 5  级联调度的量化收益</w:t>
      </w:r>
    </w:p>
    <w:tbl>
      <w:tblPr>
        <w:tblStyle w:val="15"/>
        <w:tblW w:w="5000" w:type="pct"/>
        <w:tblInd w:w="0" w:type="dxa"/>
        <w:tblBorders>
          <w:top w:val="single" w:color="1F3864" w:sz="8" w:space="0"/>
          <w:left w:val="none" w:color="FFFFFF" w:sz="0" w:space="0"/>
          <w:bottom w:val="single" w:color="1F3864" w:sz="8" w:space="0"/>
          <w:right w:val="none" w:color="FFFFFF" w:sz="0" w:space="0"/>
          <w:insideH w:val="single" w:color="B0B8C4" w:sz="4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96"/>
        <w:gridCol w:w="3146"/>
        <w:gridCol w:w="3146"/>
      </w:tblGrid>
      <w:tr w14:paraId="33152BDD">
        <w:trPr>
          <w:cantSplit/>
          <w:tblHeader/>
        </w:trPr>
        <w:tc>
          <w:tcPr>
            <w:tcW w:w="15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3A44A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直答覆盖率</w:t>
            </w:r>
          </w:p>
        </w:tc>
        <w:tc>
          <w:tcPr>
            <w:tcW w:w="175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80102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base 直答准确率</w:t>
            </w:r>
          </w:p>
        </w:tc>
        <w:tc>
          <w:tcPr>
            <w:tcW w:w="175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A02E0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GRPO+RLCD 直答准确率</w:t>
            </w:r>
          </w:p>
        </w:tc>
      </w:tr>
      <w:tr w14:paraId="38996510">
        <w:trPr>
          <w:cantSplit/>
        </w:trPr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205CE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5%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1113B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71.2%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25090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94.2%</w:t>
            </w:r>
          </w:p>
        </w:tc>
      </w:tr>
      <w:tr w14:paraId="478199E8">
        <w:trPr>
          <w:cantSplit/>
        </w:trPr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EEE5B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21%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413E7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54.6%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DC828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94.6%（峰值）</w:t>
            </w:r>
          </w:p>
        </w:tc>
      </w:tr>
      <w:tr w14:paraId="5DCC7CB4">
        <w:trPr>
          <w:cantSplit/>
        </w:trPr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99C2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42%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4A9CF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43.0%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2FFCC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90.5%</w:t>
            </w:r>
          </w:p>
        </w:tc>
      </w:tr>
      <w:tr w14:paraId="2BD0F767">
        <w:trPr>
          <w:cantSplit/>
        </w:trPr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0F163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58%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D0C66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39.6%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203D4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85.2%</w:t>
            </w:r>
          </w:p>
        </w:tc>
      </w:tr>
      <w:tr w14:paraId="05684D59">
        <w:trPr>
          <w:cantSplit/>
        </w:trPr>
        <w:tc>
          <w:tcPr>
            <w:tcW w:w="15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4A79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100%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58B43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30.7%</w:t>
            </w:r>
          </w:p>
        </w:tc>
        <w:tc>
          <w:tcPr>
            <w:tcW w:w="17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98CBF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75.1%</w:t>
            </w:r>
          </w:p>
        </w:tc>
      </w:tr>
    </w:tbl>
    <w:p w14:paraId="55ABB5EB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关键业务数字：在 90% 直答准确率约束下，GRPO+RLCD 模型可直答 42% 的请求（base 为 0%）；在 85% 约束下可直答 58%。base 模型因过自信，其置信度无法用于任何可靠性承诺（曲线在 5% 覆盖后迅速崩塌）。校准的价值在此被转化为可量化的推理成本节省：ECE 的下降直接兑现为“小模型可承担的请求比例”的提升。</w:t>
      </w:r>
    </w:p>
    <w:p w14:paraId="66EC3EDB">
      <w:pPr>
        <w:pStyle w:val="2"/>
        <w:spacing w:before="360" w:after="160"/>
      </w:pPr>
      <w:bookmarkStart w:id="15" w:name="_Toc100015"/>
      <w:r>
        <w:rPr>
          <w:rFonts w:ascii="Times New Roman" w:eastAsia="黑体"/>
          <w:b/>
          <w:bCs/>
          <w:color w:val="1F3864"/>
          <w:sz w:val="32"/>
          <w:szCs w:val="32"/>
        </w:rPr>
        <w:t>6  超参数规律</w:t>
      </w:r>
      <w:bookmarkEnd w:id="15"/>
    </w:p>
    <w:p w14:paraId="50FBE795">
      <w:pPr>
        <w:pStyle w:val="3"/>
        <w:spacing w:before="280" w:after="120"/>
      </w:pPr>
      <w:bookmarkStart w:id="16" w:name="_Toc100016"/>
      <w:r>
        <w:rPr>
          <w:rFonts w:ascii="Times New Roman" w:eastAsia="黑体"/>
          <w:b/>
          <w:bCs/>
          <w:color w:val="2E5B8F"/>
          <w:sz w:val="28"/>
          <w:szCs w:val="28"/>
        </w:rPr>
        <w:t>6.1  λ 扫描</w:t>
      </w:r>
      <w:bookmarkEnd w:id="16"/>
    </w:p>
    <w:p w14:paraId="78288CF4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在 SST-5 上扫描 λ∈{0.25, 0.5, 1.0}：λ=0.25 略差（校准压力不足），λ=0.5 与 1.0 打平（差异小于运行噪声），λ=0.5 为默认甜点。</w:t>
      </w:r>
    </w:p>
    <w:p w14:paraId="0C5C5F7A">
      <w:pPr>
        <w:pStyle w:val="3"/>
        <w:spacing w:before="280" w:after="120"/>
      </w:pPr>
      <w:bookmarkStart w:id="17" w:name="_Toc100017"/>
      <w:r>
        <w:rPr>
          <w:rFonts w:ascii="Times New Roman" w:eastAsia="黑体"/>
          <w:b/>
          <w:bCs/>
          <w:color w:val="2E5B8F"/>
          <w:sz w:val="28"/>
          <w:szCs w:val="28"/>
        </w:rPr>
        <w:t>6.2  组大小 G 的任务依赖定律</w:t>
      </w:r>
      <w:bookmarkEnd w:id="17"/>
    </w:p>
    <w:p w14:paraId="19AF963F">
      <w:pPr>
        <w:keepNext/>
        <w:spacing w:before="200" w:after="100"/>
        <w:jc w:val="center"/>
      </w:pPr>
      <w:r>
        <w:rPr>
          <w:rFonts w:ascii="Times New Roman" w:eastAsia="黑体"/>
          <w:b/>
          <w:bCs/>
          <w:color w:val="1F3864"/>
          <w:sz w:val="21"/>
          <w:szCs w:val="21"/>
        </w:rPr>
        <w:t>表 6  G 扫描结果（SST-5 验证集）</w:t>
      </w:r>
    </w:p>
    <w:tbl>
      <w:tblPr>
        <w:tblStyle w:val="15"/>
        <w:tblW w:w="5000" w:type="pct"/>
        <w:tblInd w:w="0" w:type="dxa"/>
        <w:tblBorders>
          <w:top w:val="single" w:color="1F3864" w:sz="8" w:space="0"/>
          <w:left w:val="none" w:color="FFFFFF" w:sz="0" w:space="0"/>
          <w:bottom w:val="single" w:color="1F3864" w:sz="8" w:space="0"/>
          <w:right w:val="none" w:color="FFFFFF" w:sz="0" w:space="0"/>
          <w:insideH w:val="single" w:color="B0B8C4" w:sz="4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56"/>
        <w:gridCol w:w="2966"/>
        <w:gridCol w:w="2966"/>
      </w:tblGrid>
      <w:tr w14:paraId="26429D2B">
        <w:trPr>
          <w:cantSplit/>
          <w:tblHeader/>
        </w:trPr>
        <w:tc>
          <w:tcPr>
            <w:tcW w:w="170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40CBA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配置</w:t>
            </w:r>
          </w:p>
        </w:tc>
        <w:tc>
          <w:tcPr>
            <w:tcW w:w="165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7AE24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accuracy</w:t>
            </w:r>
          </w:p>
        </w:tc>
        <w:tc>
          <w:tcPr>
            <w:tcW w:w="1650" w:type="pct"/>
            <w:shd w:val="clear" w:color="auto" w:fill="D9E2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FCBFF">
            <w:pPr>
              <w:spacing w:line="280" w:lineRule="auto"/>
              <w:jc w:val="center"/>
            </w:pPr>
            <w:r>
              <w:rPr>
                <w:rFonts w:ascii="Times New Roman" w:eastAsia="黑体"/>
                <w:b/>
                <w:bCs/>
                <w:color w:val="1F3864"/>
                <w:sz w:val="21"/>
                <w:szCs w:val="21"/>
              </w:rPr>
              <w:t>ECE</w:t>
            </w:r>
          </w:p>
        </w:tc>
      </w:tr>
      <w:tr w14:paraId="3EAC846B"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9D1DA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G=8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900BA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0.415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7DC09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0.134</w:t>
            </w:r>
          </w:p>
        </w:tc>
      </w:tr>
      <w:tr w14:paraId="739F73FB"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0F38F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G=16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C015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0.402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295DC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0.125</w:t>
            </w:r>
          </w:p>
        </w:tc>
      </w:tr>
      <w:tr w14:paraId="1D3A5E21"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B05CE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G=32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BE316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0.395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5A096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0.144</w:t>
            </w:r>
          </w:p>
        </w:tc>
      </w:tr>
      <w:tr w14:paraId="366B0FF2">
        <w:trPr>
          <w:cantSplit/>
        </w:trPr>
        <w:tc>
          <w:tcPr>
            <w:tcW w:w="170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9537D">
            <w:pPr>
              <w:spacing w:line="280" w:lineRule="auto"/>
              <w:jc w:val="left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G=64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DD8F9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0.403</w:t>
            </w:r>
          </w:p>
        </w:tc>
        <w:tc>
          <w:tcPr>
            <w:tcW w:w="1650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E51B5">
            <w:pPr>
              <w:spacing w:line="28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color w:val="1A1A1A"/>
                <w:sz w:val="21"/>
                <w:szCs w:val="21"/>
              </w:rPr>
              <w:t>0.133</w:t>
            </w:r>
          </w:p>
        </w:tc>
      </w:tr>
    </w:tbl>
    <w:p w14:paraId="637C0187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结合前期 GRPO 复现实验（MBPP 代码生成任务中 k=8 最优）与本题分类任务（G 不敏感、G=8 略优），可总结出实践定律：组内方差富足的任务（如候选式分类，零方差组比例仅 0.1~0.25）应选用小 G 以换取每步更多的题目多样性；组内方差饥饿的任务（如代码生成，零方差组比例高达 0.75）需要较大 G 制造梯度信号。选择 G 前应先观察 frac_reward_zero_std 指标。</w:t>
      </w:r>
    </w:p>
    <w:p w14:paraId="565BE2BB">
      <w:pPr>
        <w:pStyle w:val="2"/>
        <w:spacing w:before="360" w:after="160"/>
      </w:pPr>
      <w:bookmarkStart w:id="18" w:name="_Toc100018"/>
      <w:r>
        <w:rPr>
          <w:rFonts w:ascii="Times New Roman" w:eastAsia="黑体"/>
          <w:b/>
          <w:bCs/>
          <w:color w:val="1F3864"/>
          <w:sz w:val="32"/>
          <w:szCs w:val="32"/>
        </w:rPr>
        <w:t>7  讨论与局限</w:t>
      </w:r>
      <w:bookmarkEnd w:id="18"/>
    </w:p>
    <w:p w14:paraId="1E951F03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关于准确率天花板。SST-5 上 46% 的准确率并非训练失败：该数据集细粒度标签的主观性使文献中全量微调的强模型也停留在 51%~60% 区间；而 FPB（标注者全票同意）上一个 epoch 即达 75%，印证“标签质量决定收益天花板”。对需要高准确率的场景，正确路径是改善标签质量或合并相邻类别，而非继续加训练量。</w:t>
      </w:r>
    </w:p>
    <w:p w14:paraId="3866D147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关于范式选择。SFT、CPT、GRPO+RLCD 并非竞争而是互补：SFT 样本效率最高（同数据下准确率优势明显）但以交叉熵训练引入置信度失真；CPT 提供免费的领域适应；GRPO+RLCD 提供校准。SFT 预训练 + RLCD 校准的两段式是预期最优组合，未在本期时间内完成，列为后续工作。</w:t>
      </w:r>
    </w:p>
    <w:p w14:paraId="5B4DB2AA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局限：(1) FPB 测试集在多次对照评估中被使用，严格意义上调参应仅用验证集（300 条），终版数字存在轻微乐观风险；(2) 残余过自信的压制实验（2 epochs / λ=1.0）结果见 4.4 节，SFT+RLCD 两段式未完成；(3) 所有结论基于 0.6B 单一基座模型，向更大模型的迁移性未验证。</w:t>
      </w:r>
    </w:p>
    <w:p w14:paraId="37970FD2">
      <w:pPr>
        <w:pStyle w:val="2"/>
        <w:spacing w:before="360" w:after="160"/>
      </w:pPr>
      <w:bookmarkStart w:id="19" w:name="_Toc100019"/>
      <w:r>
        <w:rPr>
          <w:rFonts w:ascii="Times New Roman" w:eastAsia="黑体"/>
          <w:b/>
          <w:bCs/>
          <w:color w:val="1F3864"/>
          <w:sz w:val="32"/>
          <w:szCs w:val="32"/>
        </w:rPr>
        <w:t>8  结论</w:t>
      </w:r>
      <w:bookmarkEnd w:id="19"/>
    </w:p>
    <w:p w14:paraId="171987DE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本报告在 TRL GRPO 框架上完整实现并验证了 RLCD 校准训练方法。核心结论：(1) 校准信号只存在于模型内部概率分布中，必须以可微损失形式进入训练损失，奖励通道无法传递（方案 B 严格等价于单奖励训练）；(2) 双通道设计（奖励通道保正确性、损失通道保校准）在两个数据集上同时改善准确率与校准（SST-5：+13.6pt / ECE↓81%；FPB：+44.5pt / ECE↓59%）；(3) 校准的功能价值可通过风险-覆盖曲线量化：校准模型的置信度可直接作为级联调度信号，在 90% 准确率约束下将 42% 的请求留存在小模型侧；(4) 组大小 G 的最优值由任务组内方差饥饿度决定，超参建议不应脱离任务特性照搬。</w:t>
      </w:r>
    </w:p>
    <w:p w14:paraId="6CB6C3E4">
      <w:pPr>
        <w:pStyle w:val="2"/>
        <w:spacing w:before="360" w:after="160"/>
      </w:pPr>
      <w:bookmarkStart w:id="20" w:name="_Toc100020"/>
      <w:r>
        <w:rPr>
          <w:rFonts w:ascii="Times New Roman" w:eastAsia="黑体"/>
          <w:b/>
          <w:bCs/>
          <w:color w:val="1F3864"/>
          <w:sz w:val="32"/>
          <w:szCs w:val="32"/>
        </w:rPr>
        <w:t>参考文献</w:t>
      </w:r>
      <w:bookmarkEnd w:id="20"/>
    </w:p>
    <w:p w14:paraId="5A617B57">
      <w:pPr>
        <w:keepNext w:val="0"/>
        <w:keepLines w:val="0"/>
        <w:widowControl/>
        <w:suppressLineNumbers w:val="0"/>
        <w:jc w:val="left"/>
      </w:pPr>
      <w:r>
        <w:rPr>
          <w:rFonts w:ascii="Times New Roman" w:eastAsia="宋体"/>
          <w:color w:val="1A1A1A"/>
          <w:sz w:val="21"/>
          <w:szCs w:val="21"/>
        </w:rPr>
        <w:t>[1] DeepSeekMath (Shao et al., 2024) — GRPO：组相对策略优化，以组内均值替代价值网络。</w:t>
      </w:r>
      <w:r>
        <w:rPr>
          <w:rFonts w:ascii="Menlo" w:hAnsi="Menlo" w:eastAsia="Menlo" w:cs="Menlo"/>
          <w:i w:val="0"/>
          <w:iCs w:val="0"/>
          <w:caps w:val="0"/>
          <w:color w:val="1A1A1A"/>
          <w:spacing w:val="0"/>
          <w:kern w:val="0"/>
          <w:sz w:val="21"/>
          <w:szCs w:val="21"/>
          <w:u w:val="none"/>
          <w:shd w:val="clear" w:fill="EBEEF2"/>
          <w:lang w:val="en-US" w:eastAsia="zh-CN" w:bidi="ar"/>
        </w:rPr>
        <w:t>https://arxiv.org/abs/2402.03300</w:t>
      </w:r>
    </w:p>
    <w:p w14:paraId="303AD583">
      <w:pPr>
        <w:keepNext w:val="0"/>
        <w:keepLines w:val="0"/>
        <w:widowControl/>
        <w:suppressLineNumbers w:val="0"/>
        <w:jc w:val="left"/>
      </w:pPr>
      <w:r>
        <w:rPr>
          <w:rFonts w:ascii="Times New Roman" w:eastAsia="宋体"/>
          <w:color w:val="1A1A1A"/>
          <w:sz w:val="21"/>
          <w:szCs w:val="21"/>
        </w:rPr>
        <w:t xml:space="preserve">[2] TRL: Transformer Reinforcement Learning (Hugging Face) — </w:t>
      </w:r>
      <w:r>
        <w:rPr>
          <w:rFonts w:ascii="Menlo" w:hAnsi="Menlo" w:eastAsia="Menlo" w:cs="Menlo"/>
          <w:i w:val="0"/>
          <w:iCs w:val="0"/>
          <w:caps w:val="0"/>
          <w:color w:val="1A1A1A"/>
          <w:spacing w:val="0"/>
          <w:kern w:val="0"/>
          <w:sz w:val="21"/>
          <w:szCs w:val="21"/>
          <w:u w:val="none"/>
          <w:shd w:val="clear" w:fill="EBEEF2"/>
          <w:lang w:val="en-US" w:eastAsia="zh-CN" w:bidi="ar"/>
        </w:rPr>
        <w:t>https://huggingface.co/docs/trl/quickstart</w:t>
      </w:r>
    </w:p>
    <w:p w14:paraId="0D88C21D">
      <w:pPr>
        <w:keepNext w:val="0"/>
        <w:keepLines w:val="0"/>
        <w:widowControl/>
        <w:suppressLineNumbers w:val="0"/>
        <w:jc w:val="left"/>
      </w:pPr>
      <w:r>
        <w:rPr>
          <w:rFonts w:ascii="Times New Roman" w:eastAsia="宋体"/>
          <w:color w:val="1A1A1A"/>
          <w:sz w:val="21"/>
          <w:szCs w:val="21"/>
        </w:rPr>
        <w:t>[3] Sergio Paniego, Training Agents Class 3（HF: grpo-youtube-livestream-3-scripts）— 三联实验原始脚本与曲线。</w:t>
      </w:r>
      <w:r>
        <w:rPr>
          <w:rFonts w:ascii="Menlo" w:hAnsi="Menlo" w:eastAsia="Menlo" w:cs="Menlo"/>
          <w:i w:val="0"/>
          <w:iCs w:val="0"/>
          <w:caps w:val="0"/>
          <w:color w:val="1A1A1A"/>
          <w:spacing w:val="0"/>
          <w:kern w:val="0"/>
          <w:sz w:val="21"/>
          <w:szCs w:val="21"/>
          <w:u w:val="none"/>
          <w:shd w:val="clear" w:fill="EBEEF2"/>
          <w:lang w:val="en-US" w:eastAsia="zh-CN" w:bidi="ar"/>
        </w:rPr>
        <w:t>https://huggingface.co/sergiopaniego/grpo-youtube-livestream-3-scripts</w:t>
      </w:r>
    </w:p>
    <w:p w14:paraId="0618B8DC">
      <w:pPr>
        <w:spacing w:after="60" w:line="300" w:lineRule="auto"/>
        <w:ind w:left="480" w:hanging="480"/>
        <w:jc w:val="left"/>
      </w:pPr>
      <w:r>
        <w:rPr>
          <w:rFonts w:ascii="Times New Roman" w:eastAsia="宋体"/>
          <w:color w:val="1A1A1A"/>
          <w:sz w:val="21"/>
          <w:szCs w:val="21"/>
        </w:rPr>
        <w:t>[4] Financial PhraseBank (Malo et al., 2014) — FPB 金融短语情感数据集（allagree 子集）。</w:t>
      </w:r>
    </w:p>
    <w:p w14:paraId="0BC904AE">
      <w:pPr>
        <w:keepNext w:val="0"/>
        <w:keepLines w:val="0"/>
        <w:widowControl/>
        <w:suppressLineNumbers w:val="0"/>
        <w:jc w:val="left"/>
      </w:pPr>
      <w:r>
        <w:rPr>
          <w:rFonts w:ascii="Times New Roman" w:eastAsia="宋体"/>
          <w:color w:val="1A1A1A"/>
          <w:sz w:val="21"/>
          <w:szCs w:val="21"/>
        </w:rPr>
        <w:t>[5] Socher et al., 2013 — Stanford Sentiment Treebank（SST-5 细粒度情感分类）。</w:t>
      </w:r>
      <w:r>
        <w:rPr>
          <w:rFonts w:ascii="Menlo" w:hAnsi="Menlo" w:eastAsia="Menlo" w:cs="Menlo"/>
          <w:i w:val="0"/>
          <w:iCs w:val="0"/>
          <w:caps w:val="0"/>
          <w:color w:val="1A1A1A"/>
          <w:spacing w:val="0"/>
          <w:kern w:val="0"/>
          <w:sz w:val="21"/>
          <w:szCs w:val="21"/>
          <w:u w:val="none"/>
          <w:shd w:val="clear" w:fill="EBEEF2"/>
          <w:lang w:val="en-US" w:eastAsia="zh-CN" w:bidi="ar"/>
        </w:rPr>
        <w:t>https://nlp.stanford.edu/sentiment/</w:t>
      </w:r>
    </w:p>
    <w:p w14:paraId="1C78AD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  <w:jc w:val="left"/>
      </w:pPr>
      <w:r>
        <w:rPr>
          <w:rFonts w:ascii="Times New Roman" w:eastAsia="宋体"/>
          <w:color w:val="1A1A1A"/>
          <w:sz w:val="21"/>
          <w:szCs w:val="21"/>
        </w:rPr>
        <w:t>[6] Brier, 1950 — Verification of forecasts expressed in terms of probability（proper scoring rule）。</w:t>
      </w:r>
    </w:p>
    <w:p w14:paraId="68839D50">
      <w:pPr>
        <w:pStyle w:val="1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Style w:val="19"/>
          <w:rFonts w:ascii="var(--ds-font-family-code)" w:hAnsi="var(--ds-font-family-code)" w:eastAsia="var(--ds-font-family-code)" w:cs="var(--ds-font-family-code)"/>
          <w:i w:val="0"/>
          <w:iCs w:val="0"/>
          <w:caps w:val="0"/>
          <w:color w:val="0F1115"/>
          <w:spacing w:val="0"/>
          <w:sz w:val="18"/>
          <w:szCs w:val="18"/>
        </w:rPr>
        <w:t>https://doi.org/10.1175/1520-0493(1950)078&lt;0001:VOFEIT&gt;2.0.CO;2</w:t>
      </w:r>
      <w:r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4"/>
          <w:szCs w:val="24"/>
        </w:rPr>
        <w:t> 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4"/>
          <w:szCs w:val="24"/>
          <w:u w:val="none"/>
          <w:bdr w:val="single" w:color="auto" w:sz="24" w:space="0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4"/>
          <w:szCs w:val="24"/>
          <w:u w:val="none"/>
          <w:bdr w:val="single" w:color="auto" w:sz="24" w:space="0"/>
        </w:rPr>
        <w:instrText xml:space="preserve"> HYPERLINK "https://hal.science/hal-03662994v4/file/1-s2.0-S0169207022001443-main.pdf" \l "5#5" \t "/Users/wangkele/Documents\\x/_blank"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4"/>
          <w:szCs w:val="24"/>
          <w:u w:val="none"/>
          <w:bdr w:val="single" w:color="auto" w:sz="24" w:space="0"/>
        </w:rPr>
        <w:fldChar w:fldCharType="separate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4"/>
          <w:szCs w:val="24"/>
          <w:u w:val="none"/>
          <w:bdr w:val="single" w:color="auto" w:sz="24" w:space="0"/>
        </w:rPr>
        <w:fldChar w:fldCharType="end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4"/>
          <w:szCs w:val="24"/>
          <w:u w:val="none"/>
          <w:bdr w:val="single" w:color="auto" w:sz="24" w:space="0"/>
        </w:rPr>
        <w:fldChar w:fldCharType="begin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4"/>
          <w:szCs w:val="24"/>
          <w:u w:val="none"/>
          <w:bdr w:val="single" w:color="auto" w:sz="24" w:space="0"/>
        </w:rPr>
        <w:instrText xml:space="preserve"> HYPERLINK "https://agupubs.onlinelibrary.wiley.com/doi/pdf/10.1029/2026JH001327?_x_output_type_b6db407c4_=embedded_pdf" \l "4#4" \t "/Users/wangkele/Documents\\x/_blank" </w:instrTex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4"/>
          <w:szCs w:val="24"/>
          <w:u w:val="none"/>
          <w:bdr w:val="single" w:color="auto" w:sz="24" w:space="0"/>
        </w:rPr>
        <w:fldChar w:fldCharType="separate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spacing w:val="0"/>
          <w:sz w:val="24"/>
          <w:szCs w:val="24"/>
          <w:u w:val="none"/>
          <w:bdr w:val="single" w:color="auto" w:sz="24" w:space="0"/>
        </w:rPr>
        <w:fldChar w:fldCharType="end"/>
      </w:r>
    </w:p>
    <w:p w14:paraId="15CCCAC2">
      <w:pPr>
        <w:spacing w:after="60" w:line="300" w:lineRule="auto"/>
        <w:ind w:left="480" w:hanging="480"/>
        <w:jc w:val="left"/>
      </w:pPr>
      <w:r>
        <w:rPr>
          <w:rFonts w:ascii="Times New Roman" w:eastAsia="宋体"/>
          <w:color w:val="1A1A1A"/>
          <w:sz w:val="21"/>
          <w:szCs w:val="21"/>
        </w:rPr>
        <w:t>[7] Jev / RLCD 开源生态综述（知乎，2026）— RLCD 配方与决策模型应用场景（跨会话学习材料）。</w:t>
      </w:r>
    </w:p>
    <w:p w14:paraId="30AE5A79">
      <w:pPr>
        <w:pStyle w:val="2"/>
        <w:spacing w:before="360" w:after="160"/>
      </w:pPr>
      <w:bookmarkStart w:id="21" w:name="_Toc100021"/>
      <w:r>
        <w:rPr>
          <w:rFonts w:ascii="Times New Roman" w:eastAsia="黑体"/>
          <w:b/>
          <w:bCs/>
          <w:color w:val="1F3864"/>
          <w:sz w:val="32"/>
          <w:szCs w:val="32"/>
        </w:rPr>
        <w:t>附录 A  相关文献综述（2</w:t>
      </w:r>
      <w:r>
        <w:rPr>
          <w:rFonts w:hint="eastAsia" w:eastAsia="黑体"/>
          <w:b/>
          <w:bCs/>
          <w:color w:val="1F3864"/>
          <w:sz w:val="32"/>
          <w:szCs w:val="32"/>
          <w:lang w:val="en-US" w:eastAsia="zh-CN"/>
        </w:rPr>
        <w:t>8</w:t>
      </w:r>
      <w:r>
        <w:rPr>
          <w:rFonts w:ascii="Times New Roman" w:eastAsia="黑体"/>
          <w:b/>
          <w:bCs/>
          <w:color w:val="1F3864"/>
          <w:sz w:val="32"/>
          <w:szCs w:val="32"/>
        </w:rPr>
        <w:t xml:space="preserve"> 篇）</w:t>
      </w:r>
      <w:bookmarkEnd w:id="21"/>
    </w:p>
    <w:p w14:paraId="21180E40">
      <w:pPr>
        <w:spacing w:after="8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以下文献按主题分组，覆盖本报告的五个支柱：GRPO 与强化学习后训练、置信度校准与过度自信、可验证奖励与 Reward Hacking、级联调度与选择性预测、数据集与基座。除个别奠基性工作（Guo 2017、LoRA、数据集原文）外，其余均为 2023 年以来的工作，2025 年后的占多数。每条附一句与本项目的关系。</w:t>
      </w:r>
    </w:p>
    <w:p w14:paraId="7430F670">
      <w:pPr>
        <w:pStyle w:val="3"/>
        <w:spacing w:before="280" w:after="120"/>
      </w:pPr>
      <w:bookmarkStart w:id="22" w:name="_Toc100022"/>
      <w:r>
        <w:rPr>
          <w:rFonts w:ascii="Times New Roman" w:eastAsia="黑体"/>
          <w:b/>
          <w:bCs/>
          <w:color w:val="2E5B8F"/>
          <w:sz w:val="28"/>
          <w:szCs w:val="28"/>
        </w:rPr>
        <w:t>A. GRPO 与强化学习后训练</w:t>
      </w:r>
      <w:bookmarkEnd w:id="22"/>
    </w:p>
    <w:p w14:paraId="0D0220EE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[1] </w:t>
      </w:r>
      <w:r>
        <w:rPr>
          <w:color w:val="1A1A1A"/>
          <w:sz w:val="21"/>
          <w:szCs w:val="21"/>
        </w:rPr>
        <w:t xml:space="preserve">Shao Z, et al.. </w:t>
      </w:r>
      <w:r>
        <w:rPr>
          <w:b/>
          <w:bCs/>
          <w:color w:val="1A1A1A"/>
          <w:sz w:val="21"/>
          <w:szCs w:val="21"/>
        </w:rPr>
        <w:t xml:space="preserve">DeepSeekMath: Pushing the Limits of Mathematical Reasoning in Open Language Models. </w:t>
      </w:r>
      <w:r>
        <w:rPr>
          <w:color w:val="555555"/>
          <w:sz w:val="21"/>
          <w:szCs w:val="21"/>
        </w:rPr>
        <w:t xml:space="preserve">arXiv:2402.03300, 2024. </w:t>
      </w:r>
      <w:r>
        <w:rPr>
          <w:i/>
          <w:iCs/>
          <w:color w:val="555555"/>
          <w:sz w:val="21"/>
          <w:szCs w:val="21"/>
        </w:rPr>
        <w:t>（与本项目：GRPO 算法的出处；本报告全部强化学习实验的方法基础。）</w:t>
      </w:r>
      <w:r>
        <w:fldChar w:fldCharType="begin"/>
      </w:r>
      <w:r>
        <w:instrText xml:space="preserve"> HYPERLINK "https://arxiv.org/abs/2402.03300"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https://arxiv.org/abs/2402.03300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  <w:r>
        <w:rPr>
          <w:color w:val="2E7D32"/>
          <w:sz w:val="21"/>
          <w:szCs w:val="21"/>
        </w:rPr>
        <w:t xml:space="preserve">  ★近两年</w:t>
      </w:r>
    </w:p>
    <w:p w14:paraId="1D5509F3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[2] </w:t>
      </w:r>
      <w:r>
        <w:rPr>
          <w:color w:val="1A1A1A"/>
          <w:sz w:val="21"/>
          <w:szCs w:val="21"/>
        </w:rPr>
        <w:t xml:space="preserve">Yu Q, et al. (ByteDance). </w:t>
      </w:r>
      <w:r>
        <w:rPr>
          <w:b/>
          <w:bCs/>
          <w:color w:val="1A1A1A"/>
          <w:sz w:val="21"/>
          <w:szCs w:val="21"/>
        </w:rPr>
        <w:t xml:space="preserve">DAPO: An Open-Source LLM Reinforcement Learning System. </w:t>
      </w:r>
      <w:r>
        <w:rPr>
          <w:color w:val="555555"/>
          <w:sz w:val="21"/>
          <w:szCs w:val="21"/>
        </w:rPr>
        <w:t xml:space="preserve">arXiv:2503.14476, 2025. </w:t>
      </w:r>
      <w:r>
        <w:rPr>
          <w:i/>
          <w:iCs/>
          <w:color w:val="555555"/>
          <w:sz w:val="21"/>
          <w:szCs w:val="21"/>
        </w:rPr>
        <w:t>（与本项目：GRPO 的四项改进（含 Dynamic Sampling：过滤全对/全错组）——与本报告发现的“零方差组无梯度”现象直接对应，TRA 1.10 默认 loss_type 即 dapo。）</w:t>
      </w:r>
      <w:r>
        <w:fldChar w:fldCharType="begin"/>
      </w:r>
      <w:r>
        <w:instrText xml:space="preserve"> HYPERLINK "https://arxiv.org/abs/2503.14476"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https://arxiv.org/abs/2503.14476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  <w:r>
        <w:rPr>
          <w:color w:val="2E7D32"/>
          <w:sz w:val="21"/>
          <w:szCs w:val="21"/>
        </w:rPr>
        <w:t xml:space="preserve">  ★近两年</w:t>
      </w:r>
    </w:p>
    <w:p w14:paraId="1FBE4DAF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[3] </w:t>
      </w:r>
      <w:r>
        <w:rPr>
          <w:color w:val="1A1A1A"/>
          <w:sz w:val="21"/>
          <w:szCs w:val="21"/>
        </w:rPr>
        <w:t xml:space="preserve">Liu Z, et al. (NUS). </w:t>
      </w:r>
      <w:r>
        <w:rPr>
          <w:b/>
          <w:bCs/>
          <w:color w:val="1A1A1A"/>
          <w:sz w:val="21"/>
          <w:szCs w:val="21"/>
        </w:rPr>
        <w:t xml:space="preserve">Understanding R1-Zero-Like Training: A Critical Perspective (Dr. GRPO). </w:t>
      </w:r>
      <w:r>
        <w:rPr>
          <w:color w:val="555555"/>
          <w:sz w:val="21"/>
          <w:szCs w:val="21"/>
        </w:rPr>
        <w:t xml:space="preserve">arXiv:2503.20783, 2025. </w:t>
      </w:r>
      <w:r>
        <w:rPr>
          <w:i/>
          <w:iCs/>
          <w:color w:val="555555"/>
          <w:sz w:val="21"/>
          <w:szCs w:val="21"/>
        </w:rPr>
        <w:t>（与本项目：指出 GRPO 的长度归一化偏差；本报告 exp3 观察到的 length gaming 与其分析互证。）</w:t>
      </w:r>
      <w:r>
        <w:fldChar w:fldCharType="begin"/>
      </w:r>
      <w:r>
        <w:instrText xml:space="preserve"> HYPERLINK "https://arxiv.org/abs/2503.20783"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https://arxiv.org/abs/2503.20783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  <w:r>
        <w:rPr>
          <w:color w:val="2E7D32"/>
          <w:sz w:val="21"/>
          <w:szCs w:val="21"/>
        </w:rPr>
        <w:t xml:space="preserve">  ★近两年</w:t>
      </w:r>
    </w:p>
    <w:p w14:paraId="71C5B576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[4] </w:t>
      </w:r>
      <w:r>
        <w:rPr>
          <w:color w:val="1A1A1A"/>
          <w:sz w:val="21"/>
          <w:szCs w:val="21"/>
        </w:rPr>
        <w:t xml:space="preserve">Hu E, et al.. </w:t>
      </w:r>
      <w:r>
        <w:rPr>
          <w:b/>
          <w:bCs/>
          <w:color w:val="1A1A1A"/>
          <w:sz w:val="21"/>
          <w:szCs w:val="21"/>
        </w:rPr>
        <w:t xml:space="preserve">LoRA: Low-Rank Adaptation of Large Language Models. </w:t>
      </w:r>
      <w:r>
        <w:rPr>
          <w:color w:val="555555"/>
          <w:sz w:val="21"/>
          <w:szCs w:val="21"/>
        </w:rPr>
        <w:t xml:space="preserve">arXiv:2106.09685, 2021. </w:t>
      </w:r>
      <w:r>
        <w:rPr>
          <w:i/>
          <w:iCs/>
          <w:color w:val="555555"/>
          <w:sz w:val="21"/>
          <w:szCs w:val="21"/>
        </w:rPr>
        <w:t>（与本项目：参数高效微调的奠基工作；本报告 SFT 对照采用全参微调，LoRA 为其轻量替代。）</w:t>
      </w:r>
      <w:r>
        <w:fldChar w:fldCharType="begin"/>
      </w:r>
      <w:r>
        <w:instrText xml:space="preserve"> HYPERLINK "https://arxiv.org/abs/2106.09685"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https://arxiv.org/abs/2106.09685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</w:p>
    <w:p w14:paraId="4117BCF5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[5] </w:t>
      </w:r>
      <w:r>
        <w:rPr>
          <w:color w:val="1A1A1A"/>
          <w:sz w:val="21"/>
          <w:szCs w:val="21"/>
        </w:rPr>
        <w:t xml:space="preserve">DeepSeek-AI. </w:t>
      </w:r>
      <w:r>
        <w:rPr>
          <w:b/>
          <w:bCs/>
          <w:color w:val="1A1A1A"/>
          <w:sz w:val="21"/>
          <w:szCs w:val="21"/>
        </w:rPr>
        <w:t xml:space="preserve">DeepSeek-R1: Incentivizing Reasoning Capability in LLMs via Reinforcement Learning. </w:t>
      </w:r>
      <w:r>
        <w:rPr>
          <w:color w:val="555555"/>
          <w:sz w:val="21"/>
          <w:szCs w:val="21"/>
        </w:rPr>
        <w:t xml:space="preserve">arXiv:2501.12948, 2025. </w:t>
      </w:r>
      <w:r>
        <w:rPr>
          <w:i/>
          <w:iCs/>
          <w:color w:val="555555"/>
          <w:sz w:val="21"/>
          <w:szCs w:val="21"/>
        </w:rPr>
        <w:t>（与本项目：GRPO 在推理模型上的规模化应用（R1），展示了 RL 后训练的 industry 实践。）</w:t>
      </w:r>
      <w:r>
        <w:fldChar w:fldCharType="begin"/>
      </w:r>
      <w:r>
        <w:instrText xml:space="preserve"> HYPERLINK "https://arxiv.org/abs/2501.12948"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https://arxiv.org/abs/2501.12948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  <w:r>
        <w:rPr>
          <w:color w:val="2E7D32"/>
          <w:sz w:val="21"/>
          <w:szCs w:val="21"/>
        </w:rPr>
        <w:t xml:space="preserve">  ★近两年</w:t>
      </w:r>
    </w:p>
    <w:p w14:paraId="410651A1">
      <w:pPr>
        <w:pStyle w:val="3"/>
        <w:spacing w:before="280" w:after="120"/>
      </w:pPr>
      <w:bookmarkStart w:id="23" w:name="_Toc100023"/>
      <w:r>
        <w:rPr>
          <w:rFonts w:ascii="Times New Roman" w:eastAsia="黑体"/>
          <w:b/>
          <w:bCs/>
          <w:color w:val="2E5B8F"/>
          <w:sz w:val="28"/>
          <w:szCs w:val="28"/>
        </w:rPr>
        <w:t>B. 置信度校准与过度自信</w:t>
      </w:r>
      <w:bookmarkEnd w:id="23"/>
    </w:p>
    <w:p w14:paraId="63F90CC5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[6] </w:t>
      </w:r>
      <w:r>
        <w:rPr>
          <w:color w:val="1A1A1A"/>
          <w:sz w:val="21"/>
          <w:szCs w:val="21"/>
        </w:rPr>
        <w:t xml:space="preserve">Guo C, Pleiss G, Sun Y, Weinberger K. </w:t>
      </w:r>
      <w:r>
        <w:rPr>
          <w:b/>
          <w:bCs/>
          <w:color w:val="1A1A1A"/>
          <w:sz w:val="21"/>
          <w:szCs w:val="21"/>
        </w:rPr>
        <w:t xml:space="preserve">On Calibration of Modern Neural Networks. </w:t>
      </w:r>
      <w:r>
        <w:rPr>
          <w:color w:val="555555"/>
          <w:sz w:val="21"/>
          <w:szCs w:val="21"/>
        </w:rPr>
        <w:t xml:space="preserve">ICML 2017 / arXiv:1706.04599, 2017. </w:t>
      </w:r>
      <w:r>
        <w:rPr>
          <w:i/>
          <w:iCs/>
          <w:color w:val="555555"/>
          <w:sz w:val="21"/>
          <w:szCs w:val="21"/>
        </w:rPr>
        <w:t>（与本项目：现代神经网络普遍欠校准的奠基性工作；ECE 指标与 temperature scaling 出自此文——本报告的 ECE(10bin) 评估直接沿用其口径。）</w:t>
      </w:r>
      <w:r>
        <w:fldChar w:fldCharType="begin"/>
      </w:r>
      <w:r>
        <w:instrText xml:space="preserve"> HYPERLINK "https://arxiv.org/abs/1706.04599"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https://arxiv.org/abs/1706.04599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</w:p>
    <w:p w14:paraId="126D4A4C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[7] </w:t>
      </w:r>
      <w:r>
        <w:rPr>
          <w:color w:val="1A1A1A"/>
          <w:sz w:val="21"/>
          <w:szCs w:val="21"/>
        </w:rPr>
        <w:t xml:space="preserve">Geng J, et al.. </w:t>
      </w:r>
      <w:r>
        <w:rPr>
          <w:b/>
          <w:bCs/>
          <w:color w:val="1A1A1A"/>
          <w:sz w:val="21"/>
          <w:szCs w:val="21"/>
        </w:rPr>
        <w:t xml:space="preserve">A Survey of Confidence Estimation and Calibration in Large Language Models. </w:t>
      </w:r>
      <w:r>
        <w:rPr>
          <w:color w:val="555555"/>
          <w:sz w:val="21"/>
          <w:szCs w:val="21"/>
        </w:rPr>
        <w:t xml:space="preserve">NAACL 2024 / arXiv:2311.08298, 2024. </w:t>
      </w:r>
      <w:r>
        <w:rPr>
          <w:i/>
          <w:iCs/>
          <w:color w:val="555555"/>
          <w:sz w:val="21"/>
          <w:szCs w:val="21"/>
        </w:rPr>
        <w:t>（与本项目：LLM 置信度估计与校准的系统综述，为本报告的问题定位提供文献坐标。）</w:t>
      </w:r>
      <w:r>
        <w:fldChar w:fldCharType="begin"/>
      </w:r>
      <w:r>
        <w:instrText xml:space="preserve"> HYPERLINK "https://arxiv.org/abs/2311.08298"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https://arxiv.org/abs/2311.08298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  <w:r>
        <w:rPr>
          <w:color w:val="2E7D32"/>
          <w:sz w:val="21"/>
          <w:szCs w:val="21"/>
        </w:rPr>
        <w:t xml:space="preserve">  ★近两年</w:t>
      </w:r>
    </w:p>
    <w:p w14:paraId="274AB9F3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[8] </w:t>
      </w:r>
      <w:r>
        <w:rPr>
          <w:color w:val="1A1A1A"/>
          <w:sz w:val="21"/>
          <w:szCs w:val="21"/>
        </w:rPr>
        <w:t xml:space="preserve">Tian K, et al.. </w:t>
      </w:r>
      <w:r>
        <w:rPr>
          <w:b/>
          <w:bCs/>
          <w:color w:val="1A1A1A"/>
          <w:sz w:val="21"/>
          <w:szCs w:val="21"/>
        </w:rPr>
        <w:t xml:space="preserve">Just Ask for Calibration: Strategies for Eliciting Calibrated Confidence Scores from Language Models Fine-Tuned with Human Feedback. </w:t>
      </w:r>
      <w:r>
        <w:rPr>
          <w:color w:val="555555"/>
          <w:sz w:val="21"/>
          <w:szCs w:val="21"/>
        </w:rPr>
        <w:t xml:space="preserve">EMNLP 2023, 2023. </w:t>
      </w:r>
      <w:r>
        <w:rPr>
          <w:i/>
          <w:iCs/>
          <w:color w:val="555555"/>
          <w:sz w:val="21"/>
          <w:szCs w:val="21"/>
        </w:rPr>
        <w:t>（与本项目：实证 RLHF 后模型的过度自信与 verbalized calibration 的 elicitation 策略——与 RLCD 动机直接相关。）</w:t>
      </w:r>
    </w:p>
    <w:p w14:paraId="5FD77B80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[9] </w:t>
      </w:r>
      <w:r>
        <w:rPr>
          <w:color w:val="1A1A1A"/>
          <w:sz w:val="21"/>
          <w:szCs w:val="21"/>
        </w:rPr>
        <w:t xml:space="preserve">OpenReview. </w:t>
      </w:r>
      <w:r>
        <w:rPr>
          <w:b/>
          <w:bCs/>
          <w:color w:val="1A1A1A"/>
          <w:sz w:val="21"/>
          <w:szCs w:val="21"/>
        </w:rPr>
        <w:t xml:space="preserve">Taming Overconfidence in LLMs: Reward Calibration in RLHF (PPO-M / PPO-C). </w:t>
      </w:r>
      <w:r>
        <w:rPr>
          <w:color w:val="555555"/>
          <w:sz w:val="21"/>
          <w:szCs w:val="21"/>
        </w:rPr>
        <w:t xml:space="preserve">ICLR 2025, 2025. </w:t>
      </w:r>
      <w:r>
        <w:rPr>
          <w:i/>
          <w:iCs/>
          <w:color w:val="555555"/>
          <w:sz w:val="21"/>
          <w:szCs w:val="21"/>
        </w:rPr>
        <w:t>（与本项目：在 RLHF 奖励中加入校准项的前驱工作；本报告将其思想迁移到 GRPO+Brier-loss 实现（方案A）。）</w:t>
      </w:r>
      <w:r>
        <w:rPr>
          <w:color w:val="2E7D32"/>
          <w:sz w:val="21"/>
          <w:szCs w:val="21"/>
        </w:rPr>
        <w:t xml:space="preserve">  ★近两年</w:t>
      </w:r>
    </w:p>
    <w:p w14:paraId="5D0A1301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[10] </w:t>
      </w:r>
      <w:r>
        <w:rPr>
          <w:color w:val="1A1A1A"/>
          <w:sz w:val="21"/>
          <w:szCs w:val="21"/>
        </w:rPr>
        <w:t xml:space="preserve">Kadavath S, et al. (Anthropic). </w:t>
      </w:r>
      <w:r>
        <w:rPr>
          <w:b/>
          <w:bCs/>
          <w:color w:val="1A1A1A"/>
          <w:sz w:val="21"/>
          <w:szCs w:val="21"/>
        </w:rPr>
        <w:t xml:space="preserve">Language Models (Mostly) Know What They Know. </w:t>
      </w:r>
      <w:r>
        <w:rPr>
          <w:color w:val="555555"/>
          <w:sz w:val="21"/>
          <w:szCs w:val="21"/>
        </w:rPr>
        <w:t xml:space="preserve">arXiv:2207.05221, 2022. </w:t>
      </w:r>
      <w:r>
        <w:rPr>
          <w:i/>
          <w:iCs/>
          <w:color w:val="555555"/>
          <w:sz w:val="21"/>
          <w:szCs w:val="21"/>
        </w:rPr>
        <w:t>（与本项目：证明 LLM 内部表征“知道自己知道什么”——校准训练是在外部行为上兑现这种内部知识。）</w:t>
      </w:r>
      <w:r>
        <w:fldChar w:fldCharType="begin"/>
      </w:r>
      <w:r>
        <w:instrText xml:space="preserve"> HYPERLINK "https://arxiv.org/abs/2207.05221"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https://arxiv.org/abs/2207.05221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</w:p>
    <w:p w14:paraId="57CD2B36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[11] </w:t>
      </w:r>
      <w:r>
        <w:rPr>
          <w:color w:val="1A1A1A"/>
          <w:sz w:val="21"/>
          <w:szCs w:val="21"/>
        </w:rPr>
        <w:t xml:space="preserve">Yin Z, et al.. </w:t>
      </w:r>
      <w:r>
        <w:rPr>
          <w:b/>
          <w:bCs/>
          <w:color w:val="1A1A1A"/>
          <w:sz w:val="21"/>
          <w:szCs w:val="21"/>
        </w:rPr>
        <w:t xml:space="preserve">Wired for Overconfidence: A Mechanistic Perspective on Calibration. </w:t>
      </w:r>
      <w:r>
        <w:rPr>
          <w:color w:val="555555"/>
          <w:sz w:val="21"/>
          <w:szCs w:val="21"/>
        </w:rPr>
        <w:t xml:space="preserve">arXiv:2604.01457, 2025. </w:t>
      </w:r>
      <w:r>
        <w:rPr>
          <w:i/>
          <w:iCs/>
          <w:color w:val="555555"/>
          <w:sz w:val="21"/>
          <w:szCs w:val="21"/>
        </w:rPr>
        <w:t>（与本项目：从机制可解释性角度研究过自信成因，提出 mechanistic recalibration 与本报告的训练期校准互补。）</w:t>
      </w:r>
      <w:r>
        <w:rPr>
          <w:color w:val="2E7D32"/>
          <w:sz w:val="21"/>
          <w:szCs w:val="21"/>
        </w:rPr>
        <w:t xml:space="preserve">  ★近两年</w:t>
      </w:r>
    </w:p>
    <w:p w14:paraId="79674AA3">
      <w:pPr>
        <w:pStyle w:val="3"/>
        <w:spacing w:before="280" w:after="120"/>
      </w:pPr>
      <w:bookmarkStart w:id="24" w:name="_Toc100024"/>
      <w:r>
        <w:rPr>
          <w:rFonts w:ascii="Times New Roman" w:eastAsia="黑体"/>
          <w:b/>
          <w:bCs/>
          <w:color w:val="2E5B8F"/>
          <w:sz w:val="28"/>
          <w:szCs w:val="28"/>
        </w:rPr>
        <w:t>C. 可验证奖励与 Reward Hacking</w:t>
      </w:r>
      <w:bookmarkEnd w:id="24"/>
    </w:p>
    <w:p w14:paraId="07017ACB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[12] </w:t>
      </w:r>
      <w:r>
        <w:rPr>
          <w:color w:val="1A1A1A"/>
          <w:sz w:val="21"/>
          <w:szCs w:val="21"/>
        </w:rPr>
        <w:t xml:space="preserve">Lambert N, et al.. </w:t>
      </w:r>
      <w:r>
        <w:rPr>
          <w:b/>
          <w:bCs/>
          <w:color w:val="1A1A1A"/>
          <w:sz w:val="21"/>
          <w:szCs w:val="21"/>
        </w:rPr>
        <w:t xml:space="preserve">Tülu 3: Pushing Frontiers in Open Language Model Post-Training. </w:t>
      </w:r>
      <w:r>
        <w:rPr>
          <w:color w:val="555555"/>
          <w:sz w:val="21"/>
          <w:szCs w:val="21"/>
        </w:rPr>
        <w:t xml:space="preserve">arXiv:2411.15124, 2024. </w:t>
      </w:r>
      <w:r>
        <w:rPr>
          <w:i/>
          <w:iCs/>
          <w:color w:val="555555"/>
          <w:sz w:val="21"/>
          <w:szCs w:val="21"/>
        </w:rPr>
        <w:t>（与本项目：RLVR（可验证奖励强化学习）术语的提出与系统实践；本报告 exp2 的 MBPP assert 奖励即 RLVR 范式。）</w:t>
      </w:r>
      <w:r>
        <w:fldChar w:fldCharType="begin"/>
      </w:r>
      <w:r>
        <w:instrText xml:space="preserve"> HYPERLINK "https://arxiv.org/abs/2411.15124"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https://arxiv.org/abs/2411.15124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  <w:r>
        <w:rPr>
          <w:color w:val="2E7D32"/>
          <w:sz w:val="21"/>
          <w:szCs w:val="21"/>
        </w:rPr>
        <w:t xml:space="preserve">  ★近两年</w:t>
      </w:r>
    </w:p>
    <w:p w14:paraId="4154588A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[13] </w:t>
      </w:r>
      <w:r>
        <w:rPr>
          <w:color w:val="1A1A1A"/>
          <w:sz w:val="21"/>
          <w:szCs w:val="21"/>
        </w:rPr>
        <w:t xml:space="preserve">OpenAI. </w:t>
      </w:r>
      <w:r>
        <w:rPr>
          <w:b/>
          <w:bCs/>
          <w:color w:val="1A1A1A"/>
          <w:sz w:val="21"/>
          <w:szCs w:val="21"/>
        </w:rPr>
        <w:t xml:space="preserve">Learning to Reason with LLMs (OpenAI o1 blog). </w:t>
      </w:r>
      <w:r>
        <w:rPr>
          <w:color w:val="555555"/>
          <w:sz w:val="21"/>
          <w:szCs w:val="21"/>
        </w:rPr>
        <w:t xml:space="preserve">OpenAI, 2024, 2024. </w:t>
      </w:r>
      <w:r>
        <w:rPr>
          <w:i/>
          <w:iCs/>
          <w:color w:val="555555"/>
          <w:sz w:val="21"/>
          <w:szCs w:val="21"/>
        </w:rPr>
        <w:t>（与本项目：工业界对 RLVR 路线的规模化验证。）</w:t>
      </w:r>
      <w:r>
        <w:rPr>
          <w:color w:val="2E7D32"/>
          <w:sz w:val="21"/>
          <w:szCs w:val="21"/>
        </w:rPr>
        <w:t xml:space="preserve">  ★近两年</w:t>
      </w:r>
    </w:p>
    <w:p w14:paraId="7AD0372B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[14] </w:t>
      </w:r>
      <w:r>
        <w:rPr>
          <w:color w:val="1A1A1A"/>
          <w:sz w:val="21"/>
          <w:szCs w:val="21"/>
        </w:rPr>
        <w:t xml:space="preserve">Gao L, et al. (OpenAI). </w:t>
      </w:r>
      <w:r>
        <w:rPr>
          <w:b/>
          <w:bCs/>
          <w:color w:val="1A1A1A"/>
          <w:sz w:val="21"/>
          <w:szCs w:val="21"/>
        </w:rPr>
        <w:t xml:space="preserve">Scaling Laws for Reward Model Overoptimization. </w:t>
      </w:r>
      <w:r>
        <w:rPr>
          <w:color w:val="555555"/>
          <w:sz w:val="21"/>
          <w:szCs w:val="21"/>
        </w:rPr>
        <w:t xml:space="preserve">ICML 2023 / arXiv:2210.10760, 2023. </w:t>
      </w:r>
      <w:r>
        <w:rPr>
          <w:i/>
          <w:iCs/>
          <w:color w:val="555555"/>
          <w:sz w:val="21"/>
          <w:szCs w:val="21"/>
        </w:rPr>
        <w:t>（与本项目：reward overoptimization 的量化定律——本报告 exp3 的 reward hacking 是其在 GRPO 下的实例。）</w:t>
      </w:r>
      <w:r>
        <w:fldChar w:fldCharType="begin"/>
      </w:r>
      <w:r>
        <w:instrText xml:space="preserve"> HYPERLINK "https://arxiv.org/abs/2210.10760"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https://arxiv.org/abs/2210.10760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</w:p>
    <w:p w14:paraId="4F8234CF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[15] </w:t>
      </w:r>
      <w:r>
        <w:rPr>
          <w:color w:val="1A1A1A"/>
          <w:sz w:val="21"/>
          <w:szCs w:val="21"/>
        </w:rPr>
        <w:t xml:space="preserve">Weng L. </w:t>
      </w:r>
      <w:r>
        <w:rPr>
          <w:b/>
          <w:bCs/>
          <w:color w:val="1A1A1A"/>
          <w:sz w:val="21"/>
          <w:szCs w:val="21"/>
        </w:rPr>
        <w:t xml:space="preserve">Reward Hacking in Reinforcement Learning. </w:t>
      </w:r>
      <w:r>
        <w:rPr>
          <w:color w:val="555555"/>
          <w:sz w:val="21"/>
          <w:szCs w:val="21"/>
        </w:rPr>
        <w:t xml:space="preserve">Lil'Log (技术博客), 2024. </w:t>
      </w:r>
      <w:r>
        <w:rPr>
          <w:i/>
          <w:iCs/>
          <w:color w:val="555555"/>
          <w:sz w:val="21"/>
          <w:szCs w:val="21"/>
        </w:rPr>
        <w:t>（与本项目：reward hacking 机制分类的通俗综述，与本报告 exp3 的“饱和即冻结”发现互补。）</w:t>
      </w:r>
      <w:r>
        <w:rPr>
          <w:color w:val="2E7D32"/>
          <w:sz w:val="21"/>
          <w:szCs w:val="21"/>
        </w:rPr>
        <w:t xml:space="preserve">  ★近两年</w:t>
      </w:r>
    </w:p>
    <w:p w14:paraId="34030372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[16] </w:t>
      </w:r>
      <w:r>
        <w:rPr>
          <w:color w:val="1A1A1A"/>
          <w:sz w:val="21"/>
          <w:szCs w:val="21"/>
        </w:rPr>
        <w:t xml:space="preserve">EM Release. </w:t>
      </w:r>
      <w:r>
        <w:rPr>
          <w:b/>
          <w:bCs/>
          <w:color w:val="1A1A1A"/>
          <w:sz w:val="21"/>
          <w:szCs w:val="21"/>
        </w:rPr>
        <w:t xml:space="preserve">The Invisible Leash: Why RLVR May Not Escape Its Origin. </w:t>
      </w:r>
      <w:r>
        <w:rPr>
          <w:color w:val="555555"/>
          <w:sz w:val="21"/>
          <w:szCs w:val="21"/>
        </w:rPr>
        <w:t xml:space="preserve">arXiv (2025), 2025. </w:t>
      </w:r>
      <w:r>
        <w:rPr>
          <w:i/>
          <w:iCs/>
          <w:color w:val="555555"/>
          <w:sz w:val="21"/>
          <w:szCs w:val="21"/>
        </w:rPr>
        <w:t>（与本项目：论证 RLVR 受基座能力边界约束——与 exp2 死区题（24.9% 永不解锁）的发现互证。）</w:t>
      </w:r>
      <w:r>
        <w:fldChar w:fldCharType="begin"/>
      </w:r>
      <w:r>
        <w:instrText xml:space="preserve"> HYPERLINK "https://arxiv.org/abs/2507.14843"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https://arxiv.org/abs/2507.14843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  <w:r>
        <w:rPr>
          <w:color w:val="2E7D32"/>
          <w:sz w:val="21"/>
          <w:szCs w:val="21"/>
        </w:rPr>
        <w:t xml:space="preserve">  ★近两年</w:t>
      </w:r>
    </w:p>
    <w:p w14:paraId="251401E3">
      <w:pPr>
        <w:pStyle w:val="3"/>
        <w:spacing w:before="280" w:after="120"/>
      </w:pPr>
      <w:bookmarkStart w:id="25" w:name="_Toc100025"/>
      <w:r>
        <w:rPr>
          <w:rFonts w:ascii="Times New Roman" w:eastAsia="黑体"/>
          <w:b/>
          <w:bCs/>
          <w:color w:val="2E5B8F"/>
          <w:sz w:val="28"/>
          <w:szCs w:val="28"/>
        </w:rPr>
        <w:t>D. 级联调度与选择性预测</w:t>
      </w:r>
      <w:bookmarkEnd w:id="25"/>
    </w:p>
    <w:p w14:paraId="02907E20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[17] </w:t>
      </w:r>
      <w:r>
        <w:rPr>
          <w:color w:val="1A1A1A"/>
          <w:sz w:val="21"/>
          <w:szCs w:val="21"/>
        </w:rPr>
        <w:t xml:space="preserve">Chen L, et al.. </w:t>
      </w:r>
      <w:r>
        <w:rPr>
          <w:b/>
          <w:bCs/>
          <w:color w:val="1A1A1A"/>
          <w:sz w:val="21"/>
          <w:szCs w:val="21"/>
        </w:rPr>
        <w:t xml:space="preserve">FrugalGPT: How to Use Large Language Models While Reducing Cost and Improving Performance. </w:t>
      </w:r>
      <w:r>
        <w:rPr>
          <w:color w:val="555555"/>
          <w:sz w:val="21"/>
          <w:szCs w:val="21"/>
        </w:rPr>
        <w:t xml:space="preserve">arXiv:2305.05176, 2023. </w:t>
      </w:r>
      <w:r>
        <w:rPr>
          <w:i/>
          <w:iCs/>
          <w:color w:val="555555"/>
          <w:sz w:val="21"/>
          <w:szCs w:val="21"/>
        </w:rPr>
        <w:t>（与本项目：LLM 级联降本的开山工作；本报告的风险-覆盖曲线是其评估口径在“校准小模型”上的应用。）</w:t>
      </w:r>
      <w:r>
        <w:fldChar w:fldCharType="begin"/>
      </w:r>
      <w:r>
        <w:instrText xml:space="preserve"> HYPERLINK "https://arxiv.org/abs/2305.05176"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https://arxiv.org/abs/2305.05176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</w:p>
    <w:p w14:paraId="4D7A5CFB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[18] </w:t>
      </w:r>
      <w:r>
        <w:rPr>
          <w:color w:val="1A1A1A"/>
          <w:sz w:val="21"/>
          <w:szCs w:val="21"/>
        </w:rPr>
        <w:t xml:space="preserve">Ding D, et al. (Microsoft). </w:t>
      </w:r>
      <w:r>
        <w:rPr>
          <w:b/>
          <w:bCs/>
          <w:color w:val="1A1A1A"/>
          <w:sz w:val="21"/>
          <w:szCs w:val="21"/>
        </w:rPr>
        <w:t xml:space="preserve">Hybrid LLM: Cost-Efficient and Quality-Aware Query Routing. </w:t>
      </w:r>
      <w:r>
        <w:rPr>
          <w:color w:val="555555"/>
          <w:sz w:val="21"/>
          <w:szCs w:val="21"/>
        </w:rPr>
        <w:t xml:space="preserve">ICLR 2024 / arXiv:2404.14618, 2024. </w:t>
      </w:r>
      <w:r>
        <w:rPr>
          <w:i/>
          <w:iCs/>
          <w:color w:val="555555"/>
          <w:sz w:val="21"/>
          <w:szCs w:val="21"/>
        </w:rPr>
        <w:t>（与本项目：按预测难度路由大小模型——与本项目“置信度阈值级联”同构。）</w:t>
      </w:r>
      <w:r>
        <w:fldChar w:fldCharType="begin"/>
      </w:r>
      <w:r>
        <w:instrText xml:space="preserve"> HYPERLINK "https://arxiv.org/abs/2404.14618"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https://arxiv.org/abs/2404.14618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  <w:r>
        <w:rPr>
          <w:color w:val="2E7D32"/>
          <w:sz w:val="21"/>
          <w:szCs w:val="21"/>
        </w:rPr>
        <w:t xml:space="preserve">  ★近两年</w:t>
      </w:r>
    </w:p>
    <w:p w14:paraId="0338E533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[19] </w:t>
      </w:r>
      <w:r>
        <w:rPr>
          <w:color w:val="1A1A1A"/>
          <w:sz w:val="21"/>
          <w:szCs w:val="21"/>
        </w:rPr>
        <w:t xml:space="preserve">Yue M, et al.. </w:t>
      </w:r>
      <w:r>
        <w:rPr>
          <w:b/>
          <w:bCs/>
          <w:color w:val="1A1A1A"/>
          <w:sz w:val="21"/>
          <w:szCs w:val="21"/>
        </w:rPr>
        <w:t xml:space="preserve">MoT: Confidence-Weighted Mixture of Thought / LLM Cascade probable. </w:t>
      </w:r>
      <w:r>
        <w:rPr>
          <w:color w:val="555555"/>
          <w:sz w:val="21"/>
          <w:szCs w:val="21"/>
        </w:rPr>
        <w:t xml:space="preserve">多个 arXiv/会议（2024）, 2024. </w:t>
      </w:r>
      <w:r>
        <w:rPr>
          <w:i/>
          <w:iCs/>
          <w:color w:val="555555"/>
          <w:sz w:val="21"/>
          <w:szCs w:val="21"/>
        </w:rPr>
        <w:t>（与本项目：置信度加权级联的代表性变体。）</w:t>
      </w:r>
      <w:r>
        <w:rPr>
          <w:color w:val="2E7D32"/>
          <w:sz w:val="21"/>
          <w:szCs w:val="21"/>
        </w:rPr>
        <w:t xml:space="preserve">  ★近两年</w:t>
      </w:r>
    </w:p>
    <w:p w14:paraId="2D7B57BD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[20] </w:t>
      </w:r>
      <w:r>
        <w:rPr>
          <w:color w:val="1A1A1A"/>
          <w:sz w:val="21"/>
          <w:szCs w:val="21"/>
        </w:rPr>
        <w:t xml:space="preserve">FiSCoRe (Han et al.). </w:t>
      </w:r>
      <w:r>
        <w:rPr>
          <w:b/>
          <w:bCs/>
          <w:color w:val="1A1A1A"/>
          <w:sz w:val="21"/>
          <w:szCs w:val="21"/>
        </w:rPr>
        <w:t xml:space="preserve">Teaching LLMs to Abstain via Fine-grained Semantic Confidence Reward. </w:t>
      </w:r>
      <w:r>
        <w:rPr>
          <w:color w:val="555555"/>
          <w:sz w:val="21"/>
          <w:szCs w:val="21"/>
        </w:rPr>
        <w:t xml:space="preserve">arXiv:2510.24020, 2025. </w:t>
      </w:r>
      <w:r>
        <w:rPr>
          <w:i/>
          <w:iCs/>
          <w:color w:val="555555"/>
          <w:sz w:val="21"/>
          <w:szCs w:val="21"/>
        </w:rPr>
        <w:t>（与本项目：用强化学习教 LLM 适时拒答——与本报告“校准使置信度可用于可靠性承诺”目标一致，但走语义置信奖励路线。）</w:t>
      </w:r>
      <w:r>
        <w:fldChar w:fldCharType="begin"/>
      </w:r>
      <w:r>
        <w:instrText xml:space="preserve"> HYPERLINK "https://arxiv.org/abs/2510.24020"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https://arxiv.org/abs/2510.24020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  <w:r>
        <w:rPr>
          <w:color w:val="2E7D32"/>
          <w:sz w:val="21"/>
          <w:szCs w:val="21"/>
        </w:rPr>
        <w:t xml:space="preserve">  ★近两年</w:t>
      </w:r>
    </w:p>
    <w:p w14:paraId="453B740A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[21] </w:t>
      </w:r>
      <w:r>
        <w:rPr>
          <w:color w:val="1A1A1A"/>
          <w:sz w:val="21"/>
          <w:szCs w:val="21"/>
        </w:rPr>
        <w:t xml:space="preserve">SelectLLM. </w:t>
      </w:r>
      <w:r>
        <w:rPr>
          <w:b/>
          <w:bCs/>
          <w:color w:val="1A1A1A"/>
          <w:sz w:val="21"/>
          <w:szCs w:val="21"/>
        </w:rPr>
        <w:t xml:space="preserve">Calibrating LLMs for Selective Prediction. </w:t>
      </w:r>
      <w:r>
        <w:rPr>
          <w:color w:val="555555"/>
          <w:sz w:val="21"/>
          <w:szCs w:val="21"/>
        </w:rPr>
        <w:t xml:space="preserve">OpenReview (2024), 2024. </w:t>
      </w:r>
      <w:r>
        <w:rPr>
          <w:i/>
          <w:iCs/>
          <w:color w:val="555555"/>
          <w:sz w:val="21"/>
          <w:szCs w:val="21"/>
        </w:rPr>
        <w:t>（与本项目：校准 LLM 用于选择性预测（abstention）的系统评估。）</w:t>
      </w:r>
      <w:r>
        <w:rPr>
          <w:color w:val="2E7D32"/>
          <w:sz w:val="21"/>
          <w:szCs w:val="21"/>
        </w:rPr>
        <w:t xml:space="preserve">  ★近两年</w:t>
      </w:r>
    </w:p>
    <w:p w14:paraId="3096935E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[22] </w:t>
      </w:r>
      <w:r>
        <w:rPr>
          <w:color w:val="1A1A1A"/>
          <w:sz w:val="21"/>
          <w:szCs w:val="21"/>
        </w:rPr>
        <w:t xml:space="preserve">Farquhar S, Kossen J, Kuhn L, Gal Y. </w:t>
      </w:r>
      <w:r>
        <w:rPr>
          <w:b/>
          <w:bCs/>
          <w:color w:val="1A1A1A"/>
          <w:sz w:val="21"/>
          <w:szCs w:val="21"/>
        </w:rPr>
        <w:t xml:space="preserve">Detecting Hallucinations in Large Language Models Using Semantic Entropy. </w:t>
      </w:r>
      <w:r>
        <w:rPr>
          <w:color w:val="555555"/>
          <w:sz w:val="21"/>
          <w:szCs w:val="21"/>
        </w:rPr>
        <w:t xml:space="preserve">Nature 630 (2024) / arXiv:2302.09664, 2024. </w:t>
      </w:r>
      <w:r>
        <w:rPr>
          <w:i/>
          <w:iCs/>
          <w:color w:val="555555"/>
          <w:sz w:val="21"/>
          <w:szCs w:val="21"/>
        </w:rPr>
        <w:t>（与本项目：语义熵检测幻觉（Nature）——校准/不确定性估计的下游功能化实例。）</w:t>
      </w:r>
      <w:r>
        <w:fldChar w:fldCharType="begin"/>
      </w:r>
      <w:r>
        <w:instrText xml:space="preserve"> HYPERLINK "https://arxiv.org/abs/2302.09664"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https://arxiv.org/abs/2302.09664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  <w:r>
        <w:rPr>
          <w:color w:val="2E7D32"/>
          <w:sz w:val="21"/>
          <w:szCs w:val="21"/>
        </w:rPr>
        <w:t xml:space="preserve">  ★近两年</w:t>
      </w:r>
    </w:p>
    <w:p w14:paraId="1BE10CAF">
      <w:pPr>
        <w:pStyle w:val="3"/>
        <w:spacing w:before="280" w:after="120"/>
      </w:pPr>
      <w:bookmarkStart w:id="26" w:name="_Toc100026"/>
      <w:r>
        <w:rPr>
          <w:rFonts w:ascii="Times New Roman" w:eastAsia="黑体"/>
          <w:b/>
          <w:bCs/>
          <w:color w:val="2E5B8F"/>
          <w:sz w:val="28"/>
          <w:szCs w:val="28"/>
        </w:rPr>
        <w:t>E. 数据集与基座</w:t>
      </w:r>
      <w:bookmarkEnd w:id="26"/>
    </w:p>
    <w:p w14:paraId="03E6749B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[23] </w:t>
      </w:r>
      <w:r>
        <w:rPr>
          <w:color w:val="1A1A1A"/>
          <w:sz w:val="21"/>
          <w:szCs w:val="21"/>
        </w:rPr>
        <w:t xml:space="preserve">Socher R, et al.. </w:t>
      </w:r>
      <w:r>
        <w:rPr>
          <w:b/>
          <w:bCs/>
          <w:color w:val="1A1A1A"/>
          <w:sz w:val="21"/>
          <w:szCs w:val="21"/>
        </w:rPr>
        <w:t xml:space="preserve">Recursive Deep Models for Semantic Compositionality over a Sentiment Treebank. </w:t>
      </w:r>
      <w:r>
        <w:rPr>
          <w:color w:val="555555"/>
          <w:sz w:val="21"/>
          <w:szCs w:val="21"/>
        </w:rPr>
        <w:t xml:space="preserve">EMNLP 2013, 2013. </w:t>
      </w:r>
      <w:r>
        <w:rPr>
          <w:i/>
          <w:iCs/>
          <w:color w:val="555555"/>
          <w:sz w:val="21"/>
          <w:szCs w:val="21"/>
        </w:rPr>
        <w:t>（与本项目：SST-5 数据集出处；细粒度五类情感标注主观性的典型代表。）</w:t>
      </w:r>
    </w:p>
    <w:p w14:paraId="4F872778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[24] </w:t>
      </w:r>
      <w:r>
        <w:rPr>
          <w:color w:val="1A1A1A"/>
          <w:sz w:val="21"/>
          <w:szCs w:val="21"/>
        </w:rPr>
        <w:t xml:space="preserve">Malo P, et al.. </w:t>
      </w:r>
      <w:r>
        <w:rPr>
          <w:b/>
          <w:bCs/>
          <w:color w:val="1A1A1A"/>
          <w:sz w:val="21"/>
          <w:szCs w:val="21"/>
        </w:rPr>
        <w:t xml:space="preserve">Good Debt or Bad Debt: What Sentiment Analysis Reveals about Financial PhraseBank. </w:t>
      </w:r>
      <w:r>
        <w:rPr>
          <w:color w:val="555555"/>
          <w:sz w:val="21"/>
          <w:szCs w:val="21"/>
        </w:rPr>
        <w:t xml:space="preserve">JASIST, 2014. </w:t>
      </w:r>
      <w:r>
        <w:rPr>
          <w:i/>
          <w:iCs/>
          <w:color w:val="555555"/>
          <w:sz w:val="21"/>
          <w:szCs w:val="21"/>
        </w:rPr>
        <w:t>（与本项目：FPB 数据集出处（本报告用 allagree 全票子集）。）</w:t>
      </w:r>
    </w:p>
    <w:p w14:paraId="754DF1FA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[25] </w:t>
      </w:r>
      <w:r>
        <w:rPr>
          <w:color w:val="1A1A1A"/>
          <w:sz w:val="21"/>
          <w:szCs w:val="21"/>
        </w:rPr>
        <w:t xml:space="preserve">Araci D. </w:t>
      </w:r>
      <w:r>
        <w:rPr>
          <w:b/>
          <w:bCs/>
          <w:color w:val="1A1A1A"/>
          <w:sz w:val="21"/>
          <w:szCs w:val="21"/>
        </w:rPr>
        <w:t xml:space="preserve">FinBERT: Financial Sentiment Analysis with Pre-trained Language Models. </w:t>
      </w:r>
      <w:r>
        <w:rPr>
          <w:color w:val="555555"/>
          <w:sz w:val="21"/>
          <w:szCs w:val="21"/>
        </w:rPr>
        <w:t xml:space="preserve">arXiv:1908.10063, 2019. </w:t>
      </w:r>
      <w:r>
        <w:rPr>
          <w:i/>
          <w:iCs/>
          <w:color w:val="555555"/>
          <w:sz w:val="21"/>
          <w:szCs w:val="21"/>
        </w:rPr>
        <w:t>（与本项目：金融领域 BERT；FPB 微调文献锚点（86-97%，取决于标注一致性子集）。）</w:t>
      </w:r>
      <w:r>
        <w:fldChar w:fldCharType="begin"/>
      </w:r>
      <w:r>
        <w:instrText xml:space="preserve"> HYPERLINK "https://arxiv.org/abs/1908.10063"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https://arxiv.org/abs/1908.10063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</w:p>
    <w:p w14:paraId="733944D2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[26] </w:t>
      </w:r>
      <w:r>
        <w:rPr>
          <w:color w:val="1A1A1A"/>
          <w:sz w:val="21"/>
          <w:szCs w:val="21"/>
        </w:rPr>
        <w:t xml:space="preserve">Qwen Team (Alibaba). </w:t>
      </w:r>
      <w:r>
        <w:rPr>
          <w:b/>
          <w:bCs/>
          <w:color w:val="1A1A1A"/>
          <w:sz w:val="21"/>
          <w:szCs w:val="21"/>
        </w:rPr>
        <w:t xml:space="preserve">Qwen3 Technical Report. </w:t>
      </w:r>
      <w:r>
        <w:rPr>
          <w:color w:val="555555"/>
          <w:sz w:val="21"/>
          <w:szCs w:val="21"/>
        </w:rPr>
        <w:t xml:space="preserve">arXiv:2505.09388, 2025. </w:t>
      </w:r>
      <w:r>
        <w:rPr>
          <w:i/>
          <w:iCs/>
          <w:color w:val="555555"/>
          <w:sz w:val="21"/>
          <w:szCs w:val="21"/>
        </w:rPr>
        <w:t>（与本项目：本报告基座模型 Qwen3-0.6B 的出处。）</w:t>
      </w:r>
      <w:r>
        <w:fldChar w:fldCharType="begin"/>
      </w:r>
      <w:r>
        <w:instrText xml:space="preserve"> HYPERLINK "https://arxiv.org/abs/2505.09388"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https://arxiv.org/abs/2505.09388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  <w:r>
        <w:rPr>
          <w:color w:val="2E7D32"/>
          <w:sz w:val="21"/>
          <w:szCs w:val="21"/>
        </w:rPr>
        <w:t xml:space="preserve">  ★近两年</w:t>
      </w:r>
    </w:p>
    <w:p w14:paraId="08E0D2A2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[27] </w:t>
      </w:r>
      <w:r>
        <w:rPr>
          <w:color w:val="1A1A1A"/>
          <w:sz w:val="21"/>
          <w:szCs w:val="21"/>
        </w:rPr>
        <w:t xml:space="preserve">Eldan R, Li Y. </w:t>
      </w:r>
      <w:r>
        <w:rPr>
          <w:b/>
          <w:bCs/>
          <w:color w:val="1A1A1A"/>
          <w:sz w:val="21"/>
          <w:szCs w:val="21"/>
        </w:rPr>
        <w:t xml:space="preserve">TinyStories: How Small Can Language Models Be and Still Speak Coherent English?. </w:t>
      </w:r>
      <w:r>
        <w:rPr>
          <w:color w:val="555555"/>
          <w:sz w:val="21"/>
          <w:szCs w:val="21"/>
        </w:rPr>
        <w:t xml:space="preserve">arXiv:2305.07763, 2023. </w:t>
      </w:r>
      <w:r>
        <w:rPr>
          <w:i/>
          <w:iCs/>
          <w:color w:val="555555"/>
          <w:sz w:val="21"/>
          <w:szCs w:val="21"/>
        </w:rPr>
        <w:t>（与本项目：小模型能力边界研究的代表（同期作业 42M 基座即 TinyStories checkpoint）。）</w:t>
      </w:r>
      <w:r>
        <w:fldChar w:fldCharType="begin"/>
      </w:r>
      <w:r>
        <w:instrText xml:space="preserve"> HYPERLINK "https://arxiv.org/abs/2305.07763"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https://arxiv.org/abs/2305.07763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</w:p>
    <w:p w14:paraId="6CD514FB">
      <w:pPr>
        <w:spacing w:after="100" w:line="300" w:lineRule="auto"/>
        <w:ind w:left="480" w:hanging="480"/>
        <w:jc w:val="both"/>
      </w:pPr>
      <w:r>
        <w:rPr>
          <w:b/>
          <w:bCs/>
          <w:color w:val="2E5B8F"/>
          <w:sz w:val="21"/>
          <w:szCs w:val="21"/>
        </w:rPr>
        <w:t xml:space="preserve">[28] </w:t>
      </w:r>
      <w:r>
        <w:rPr>
          <w:color w:val="1A1A1A"/>
          <w:sz w:val="21"/>
          <w:szCs w:val="21"/>
        </w:rPr>
        <w:t xml:space="preserve">Belcak P, et al.. </w:t>
      </w:r>
      <w:r>
        <w:rPr>
          <w:b/>
          <w:bCs/>
          <w:color w:val="1A1A1A"/>
          <w:sz w:val="21"/>
          <w:szCs w:val="21"/>
        </w:rPr>
        <w:t xml:space="preserve">Small Language Models are the Future of Agentic AI. </w:t>
      </w:r>
      <w:r>
        <w:rPr>
          <w:color w:val="555555"/>
          <w:sz w:val="21"/>
          <w:szCs w:val="21"/>
        </w:rPr>
        <w:t xml:space="preserve">arXiv:2506.02153, 2025. </w:t>
      </w:r>
      <w:r>
        <w:rPr>
          <w:i/>
          <w:iCs/>
          <w:color w:val="555555"/>
          <w:sz w:val="21"/>
          <w:szCs w:val="21"/>
        </w:rPr>
        <w:t>（与本项目：SLM 在 Agent/级联场景的成本论证——本报告风险-覆盖结论的宏观佐证。）</w:t>
      </w:r>
      <w:r>
        <w:fldChar w:fldCharType="begin"/>
      </w:r>
      <w:r>
        <w:instrText xml:space="preserve"> HYPERLINK "https://arxiv.org/abs/2506.02153" </w:instrText>
      </w:r>
      <w:r>
        <w:fldChar w:fldCharType="separate"/>
      </w:r>
      <w:r>
        <w:rPr>
          <w:rStyle w:val="18"/>
          <w:rFonts w:ascii="Times New Roman" w:eastAsia="宋体"/>
          <w:sz w:val="21"/>
          <w:szCs w:val="21"/>
        </w:rPr>
        <w:t xml:space="preserve">  https://arxiv.org/abs/2506.02153</w:t>
      </w:r>
      <w:r>
        <w:rPr>
          <w:rStyle w:val="18"/>
          <w:rFonts w:ascii="Times New Roman" w:eastAsia="宋体"/>
          <w:sz w:val="21"/>
          <w:szCs w:val="21"/>
        </w:rPr>
        <w:fldChar w:fldCharType="end"/>
      </w:r>
      <w:r>
        <w:rPr>
          <w:color w:val="2E7D32"/>
          <w:sz w:val="21"/>
          <w:szCs w:val="21"/>
        </w:rPr>
        <w:t xml:space="preserve">  ★近两年</w:t>
      </w:r>
    </w:p>
    <w:p w14:paraId="552C29FE">
      <w:pPr>
        <w:spacing w:after="200" w:line="312" w:lineRule="auto"/>
        <w:ind w:firstLine="480"/>
        <w:jc w:val="both"/>
      </w:pPr>
      <w:r>
        <w:rPr>
          <w:rFonts w:ascii="Times New Roman" w:eastAsia="宋体"/>
          <w:color w:val="1A1A1A"/>
          <w:sz w:val="24"/>
          <w:szCs w:val="24"/>
        </w:rPr>
        <w:t>共 28 篇，其中 18 篇为 2024 年以来（近两年）。</w:t>
      </w:r>
    </w:p>
    <w:sectPr>
      <w:headerReference r:id="rId6" w:type="default"/>
      <w:footerReference r:id="rId7" w:type="default"/>
      <w:pgSz w:w="11906" w:h="16838"/>
      <w:pgMar w:top="1440" w:right="1417" w:bottom="1440" w:left="1701" w:header="708" w:footer="708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var(--ds-font-family-cod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E7DCB">
    <w:pPr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PAGE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CD3114">
    <w:pPr>
      <w:jc w:val="center"/>
    </w:pP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PAGE</w:instrText>
    </w:r>
    <w:r>
      <w:rPr>
        <w:color w:val="555555"/>
        <w:sz w:val="18"/>
        <w:szCs w:val="18"/>
      </w:rPr>
      <w:fldChar w:fldCharType="separate"/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D6A62">
    <w:pPr>
      <w:pBdr>
        <w:bottom w:val="single" w:color="B0B8C4" w:sz="4" w:space="0"/>
      </w:pBdr>
      <w:jc w:val="right"/>
    </w:pPr>
    <w:r>
      <w:rPr>
        <w:color w:val="555555"/>
        <w:sz w:val="18"/>
        <w:szCs w:val="18"/>
      </w:rPr>
      <w:t>Brier 校准训练方法实验报告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F6D05E"/>
    <w:multiLevelType w:val="multilevel"/>
    <w:tmpl w:val="C7F6D0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FFF9BAF"/>
    <w:rsid w:val="2C3F2EA8"/>
    <w:rsid w:val="567EAA28"/>
    <w:rsid w:val="7F776F50"/>
    <w:rsid w:val="7F7B0024"/>
    <w:rsid w:val="7FDBC9B7"/>
    <w:rsid w:val="B7B67155"/>
    <w:rsid w:val="BFBFD6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</w:pPr>
    <w:rPr>
      <w:rFonts w:ascii="Times New Roman" w:hAnsi="Times New Roman" w:eastAsia="宋体" w:cs="Times New Roman"/>
      <w:color w:val="1A1A1A"/>
      <w:sz w:val="24"/>
      <w:szCs w:val="24"/>
    </w:rPr>
  </w:style>
  <w:style w:type="paragraph" w:styleId="2">
    <w:name w:val="heading 1"/>
    <w:basedOn w:val="1"/>
    <w:next w:val="1"/>
    <w:qFormat/>
    <w:uiPriority w:val="0"/>
    <w:pP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pP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pPr>
      <w:outlineLvl w:val="4"/>
    </w:pPr>
    <w:rPr>
      <w:color w:val="2E74B5"/>
    </w:rPr>
  </w:style>
  <w:style w:type="paragraph" w:styleId="7">
    <w:name w:val="heading 6"/>
    <w:basedOn w:val="1"/>
    <w:next w:val="1"/>
    <w:qFormat/>
    <w:uiPriority w:val="0"/>
    <w:pPr>
      <w:outlineLvl w:val="5"/>
    </w:pPr>
    <w:rPr>
      <w:color w:val="1F4D78"/>
    </w:rPr>
  </w:style>
  <w:style w:type="character" w:default="1" w:styleId="16">
    <w:name w:val="Default Paragraph Font"/>
    <w:semiHidden/>
    <w:uiPriority w:val="0"/>
  </w:style>
  <w:style w:type="table" w:default="1" w:styleId="1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uiPriority w:val="39"/>
    <w:pPr>
      <w:tabs>
        <w:tab w:val="right" w:leader="dot" w:pos="9026"/>
      </w:tabs>
      <w:spacing w:before="40" w:after="20"/>
      <w:ind w:left="720"/>
    </w:pPr>
  </w:style>
  <w:style w:type="paragraph" w:styleId="9">
    <w:name w:val="endnote text"/>
    <w:basedOn w:val="1"/>
    <w:link w:val="23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oc 1"/>
    <w:basedOn w:val="1"/>
    <w:uiPriority w:val="39"/>
    <w:pPr>
      <w:tabs>
        <w:tab w:val="right" w:leader="dot" w:pos="9026"/>
      </w:tabs>
      <w:spacing w:before="120" w:after="60"/>
    </w:pPr>
    <w:rPr>
      <w:b/>
      <w:bCs/>
    </w:rPr>
  </w:style>
  <w:style w:type="paragraph" w:styleId="11">
    <w:name w:val="footnote text"/>
    <w:basedOn w:val="1"/>
    <w:link w:val="22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2">
    <w:name w:val="toc 2"/>
    <w:basedOn w:val="1"/>
    <w:uiPriority w:val="39"/>
    <w:pPr>
      <w:tabs>
        <w:tab w:val="right" w:leader="dot" w:pos="9026"/>
      </w:tabs>
      <w:spacing w:before="60" w:after="40"/>
      <w:ind w:left="360"/>
    </w:p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basedOn w:val="1"/>
    <w:next w:val="1"/>
    <w:qFormat/>
    <w:uiPriority w:val="0"/>
    <w:rPr>
      <w:sz w:val="56"/>
      <w:szCs w:val="56"/>
    </w:rPr>
  </w:style>
  <w:style w:type="character" w:styleId="17">
    <w:name w:val="endnote reference"/>
    <w:semiHidden/>
    <w:unhideWhenUsed/>
    <w:uiPriority w:val="99"/>
    <w:rPr>
      <w:vertAlign w:val="superscript"/>
    </w:rPr>
  </w:style>
  <w:style w:type="character" w:styleId="18">
    <w:name w:val="Hyperlink"/>
    <w:unhideWhenUsed/>
    <w:uiPriority w:val="99"/>
    <w:rPr>
      <w:color w:val="0563C1"/>
      <w:u w:val="single"/>
    </w:rPr>
  </w:style>
  <w:style w:type="character" w:styleId="19">
    <w:name w:val="HTML Code"/>
    <w:basedOn w:val="16"/>
    <w:uiPriority w:val="0"/>
    <w:rPr>
      <w:rFonts w:ascii="Courier New" w:hAnsi="Courier New"/>
      <w:sz w:val="20"/>
    </w:rPr>
  </w:style>
  <w:style w:type="character" w:styleId="20">
    <w:name w:val="footnote reference"/>
    <w:semiHidden/>
    <w:unhideWhenUsed/>
    <w:uiPriority w:val="99"/>
    <w:rPr>
      <w:vertAlign w:val="superscript"/>
    </w:rPr>
  </w:style>
  <w:style w:type="paragraph" w:styleId="21">
    <w:name w:val="List Paragraph"/>
    <w:basedOn w:val="1"/>
    <w:qFormat/>
    <w:uiPriority w:val="0"/>
  </w:style>
  <w:style w:type="character" w:customStyle="1" w:styleId="22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3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TotalTime>16</TotalTime>
  <ScaleCrop>false</ScaleCrop>
  <LinksUpToDate>false</LinksUpToDate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2026-10-07T16:43:38Z</dcterms:created>
  <dc:creator>Un-named</dc:creator>
  <cp:lastModifiedBy>WPS_1786515166</cp:lastModifiedBy>
  <dcterms:modified xsi:type="dcterms:W3CDTF">2026-10-07T16:50:45Z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362DAB2BE27209FDBBF8C56A3BB6593D_42</vt:lpwstr>
  </property>
</Properties>
</file>