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802" w:rsidRPr="002B4802" w:rsidRDefault="002B4802" w:rsidP="002B4802">
      <w:pPr>
        <w:bidi/>
        <w:spacing w:line="360" w:lineRule="auto"/>
        <w:jc w:val="center"/>
        <w:rPr>
          <w:rFonts w:ascii="Simplified Arabic" w:hAnsi="Simplified Arabic" w:cs="Simplified Arabic"/>
          <w:b/>
          <w:bCs/>
          <w:sz w:val="40"/>
          <w:szCs w:val="40"/>
        </w:rPr>
      </w:pPr>
      <w:r w:rsidRPr="002B4802">
        <w:rPr>
          <w:rFonts w:ascii="Simplified Arabic" w:hAnsi="Simplified Arabic" w:cs="Simplified Arabic"/>
          <w:b/>
          <w:bCs/>
          <w:sz w:val="40"/>
          <w:szCs w:val="40"/>
          <w:rtl/>
        </w:rPr>
        <w:t>بناء الدولة بين يدي فوكوياما</w:t>
      </w:r>
      <w:r w:rsidRPr="002B4802">
        <w:rPr>
          <w:rFonts w:ascii="Simplified Arabic" w:hAnsi="Simplified Arabic" w:cs="Simplified Arabic"/>
          <w:b/>
          <w:bCs/>
          <w:sz w:val="40"/>
          <w:szCs w:val="40"/>
        </w:rPr>
        <w:t>:</w:t>
      </w:r>
    </w:p>
    <w:p w:rsidR="002B4802" w:rsidRPr="002B4802" w:rsidRDefault="002B4802" w:rsidP="002B4802">
      <w:pPr>
        <w:bidi/>
        <w:spacing w:line="360" w:lineRule="auto"/>
        <w:jc w:val="center"/>
        <w:rPr>
          <w:rFonts w:ascii="Simplified Arabic" w:hAnsi="Simplified Arabic" w:cs="Simplified Arabic"/>
          <w:b/>
          <w:bCs/>
          <w:sz w:val="32"/>
          <w:szCs w:val="32"/>
        </w:rPr>
      </w:pPr>
      <w:r w:rsidRPr="002B4802">
        <w:rPr>
          <w:rFonts w:ascii="Simplified Arabic" w:hAnsi="Simplified Arabic" w:cs="Simplified Arabic"/>
          <w:b/>
          <w:bCs/>
          <w:sz w:val="32"/>
          <w:szCs w:val="32"/>
        </w:rPr>
        <w:t>"</w:t>
      </w:r>
      <w:r w:rsidRPr="002B4802">
        <w:rPr>
          <w:rFonts w:ascii="Simplified Arabic" w:hAnsi="Simplified Arabic" w:cs="Simplified Arabic"/>
          <w:b/>
          <w:bCs/>
          <w:sz w:val="32"/>
          <w:szCs w:val="32"/>
          <w:rtl/>
        </w:rPr>
        <w:t>ملخص موجز لمقدمة الكتاب والفصل الرابع</w:t>
      </w:r>
      <w:r w:rsidRPr="002B4802">
        <w:rPr>
          <w:rFonts w:ascii="Simplified Arabic" w:hAnsi="Simplified Arabic" w:cs="Simplified Arabic"/>
          <w:b/>
          <w:bCs/>
          <w:sz w:val="32"/>
          <w:szCs w:val="32"/>
        </w:rPr>
        <w:t>"</w:t>
      </w:r>
    </w:p>
    <w:p w:rsidR="002B4802" w:rsidRPr="002B4802" w:rsidRDefault="002B4802" w:rsidP="002B4802">
      <w:pPr>
        <w:bidi/>
        <w:spacing w:line="360" w:lineRule="auto"/>
        <w:rPr>
          <w:rFonts w:ascii="Simplified Arabic" w:hAnsi="Simplified Arabic" w:cs="Simplified Arabic"/>
          <w:sz w:val="36"/>
          <w:szCs w:val="36"/>
        </w:rPr>
      </w:pP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يعتبر الأكاديمي الأميركي ذو الأصول اليابانية فرانسيس فوكوياما ضمن رواد الجدل والجرأة في  المجتمع الأكاديمي المعاصر، لا سيما وأنه أثار جدلا واسعا بعد إطلاقه صيحة "نهاية التاريخ" في مقال شهير له عام بمجلة ذا انترسبت، واستحال كتاباً فيما بعد، تنبأ من خلاله بأن النظام الليبرالي هو آخر مراحل التاريخ، متأثرا في حينها بلحظة سقوط حداد برلين وبداية نهاية الاتحاد السوفييتي</w:t>
      </w:r>
      <w:r w:rsidRPr="002B4802">
        <w:rPr>
          <w:rFonts w:ascii="Simplified Arabic" w:hAnsi="Simplified Arabic" w:cs="Simplified Arabic"/>
          <w:sz w:val="32"/>
          <w:szCs w:val="32"/>
        </w:rPr>
        <w:t>.</w:t>
      </w:r>
    </w:p>
    <w:p w:rsidR="002B4802" w:rsidRPr="002B4802" w:rsidRDefault="002B4802" w:rsidP="002B4802">
      <w:pPr>
        <w:bidi/>
        <w:spacing w:line="360" w:lineRule="auto"/>
        <w:rPr>
          <w:rFonts w:ascii="Simplified Arabic" w:hAnsi="Simplified Arabic" w:cs="Simplified Arabic"/>
          <w:sz w:val="32"/>
          <w:szCs w:val="32"/>
        </w:rPr>
      </w:pP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 xml:space="preserve">وكعادة فوكوياما فإنه من خلال كتابه "بناء الدولة" يقدّم أفكار تحمل قدرا لا بأس به من الجرأة، لأن الكتاب يدفع باتجاه مزيد من استعادة دور الدولة ومؤسساتها، والأمر يبدو غريبا وجريئا في الوقت نفسه لسببين؛ أولهما أن فوكوياما بدا هنا يناقض أفكاره في كتابه نهاية التاريخ، وثانيهما أن مثل هذه الأفكار لا تتّسق بصورة أو بأخرى مع الاتجاه العولمي الذي يؤكد على منح مؤسسات دولية حق صناعة سياسات عالمية مثل الأمم المتحدة ومجلس الأمن "سياسيا"، </w:t>
      </w:r>
      <w:r w:rsidRPr="002B4802">
        <w:rPr>
          <w:rFonts w:ascii="Simplified Arabic" w:hAnsi="Simplified Arabic" w:cs="Simplified Arabic"/>
          <w:sz w:val="32"/>
          <w:szCs w:val="32"/>
          <w:rtl/>
        </w:rPr>
        <w:lastRenderedPageBreak/>
        <w:t>والبنك وصندوق النقد الدوليين "اقتصاديا"، على حساب حق السيادة للدول، وذلك لتحقيق غايات النظام الدولي الليبرالي في توسع حركة رأس المال وشيوع منطق اقتصاد السوق الحر</w:t>
      </w:r>
      <w:r w:rsidRPr="002B4802">
        <w:rPr>
          <w:rFonts w:ascii="Simplified Arabic" w:hAnsi="Simplified Arabic" w:cs="Simplified Arabic"/>
          <w:sz w:val="32"/>
          <w:szCs w:val="32"/>
        </w:rPr>
        <w:t xml:space="preserve">. </w:t>
      </w:r>
    </w:p>
    <w:p w:rsidR="002B4802" w:rsidRPr="002B4802" w:rsidRDefault="002B4802" w:rsidP="002B4802">
      <w:pPr>
        <w:bidi/>
        <w:spacing w:line="360" w:lineRule="auto"/>
        <w:rPr>
          <w:rFonts w:ascii="Simplified Arabic" w:hAnsi="Simplified Arabic" w:cs="Simplified Arabic"/>
          <w:sz w:val="32"/>
          <w:szCs w:val="32"/>
        </w:rPr>
      </w:pPr>
    </w:p>
    <w:p w:rsidR="002B4802" w:rsidRPr="003C604B" w:rsidRDefault="002B4802" w:rsidP="002B4802">
      <w:pPr>
        <w:bidi/>
        <w:spacing w:line="360" w:lineRule="auto"/>
        <w:rPr>
          <w:rFonts w:ascii="Simplified Arabic" w:hAnsi="Simplified Arabic" w:cs="Simplified Arabic"/>
          <w:b/>
          <w:bCs/>
          <w:sz w:val="32"/>
          <w:szCs w:val="32"/>
        </w:rPr>
      </w:pPr>
      <w:bookmarkStart w:id="0" w:name="_GoBack"/>
      <w:r w:rsidRPr="003C604B">
        <w:rPr>
          <w:rFonts w:ascii="Simplified Arabic" w:hAnsi="Simplified Arabic" w:cs="Simplified Arabic"/>
          <w:b/>
          <w:bCs/>
          <w:sz w:val="32"/>
          <w:szCs w:val="32"/>
          <w:rtl/>
        </w:rPr>
        <w:t>العراق وأفغانستان.. درسان مؤلمان ومغايران</w:t>
      </w:r>
      <w:r w:rsidRPr="003C604B">
        <w:rPr>
          <w:rFonts w:ascii="Simplified Arabic" w:hAnsi="Simplified Arabic" w:cs="Simplified Arabic"/>
          <w:b/>
          <w:bCs/>
          <w:sz w:val="32"/>
          <w:szCs w:val="32"/>
        </w:rPr>
        <w:t>:</w:t>
      </w:r>
    </w:p>
    <w:bookmarkEnd w:id="0"/>
    <w:p w:rsidR="002B4802" w:rsidRPr="002B4802" w:rsidRDefault="002B4802" w:rsidP="002B4802">
      <w:pPr>
        <w:bidi/>
        <w:spacing w:line="360" w:lineRule="auto"/>
        <w:rPr>
          <w:rFonts w:ascii="Simplified Arabic" w:hAnsi="Simplified Arabic" w:cs="Simplified Arabic"/>
          <w:sz w:val="32"/>
          <w:szCs w:val="32"/>
        </w:rPr>
      </w:pP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‏يقدم الكاتب العراق وافغانستان كنموذجين حاولت الولايات المتحدة والغرب فيهما بناء الدولة بصيغتين مختلفتين، فقد اختلف التصور الأمريكي لتدبير مسألة الدولة في البلدين، وتباينت كذلك جدية حلفاء واشنطن وتوزيع الأدوار فيما بينهم، من حيث المشاركة والقدرات المالية</w:t>
      </w:r>
      <w:r w:rsidRPr="002B4802">
        <w:rPr>
          <w:rFonts w:ascii="Simplified Arabic" w:hAnsi="Simplified Arabic" w:cs="Simplified Arabic"/>
          <w:sz w:val="32"/>
          <w:szCs w:val="32"/>
        </w:rPr>
        <w:t>.</w:t>
      </w:r>
    </w:p>
    <w:p w:rsidR="002B4802" w:rsidRPr="002B4802" w:rsidRDefault="002B4802" w:rsidP="002B4802">
      <w:pPr>
        <w:bidi/>
        <w:spacing w:line="360" w:lineRule="auto"/>
        <w:rPr>
          <w:rFonts w:ascii="Simplified Arabic" w:hAnsi="Simplified Arabic" w:cs="Simplified Arabic"/>
          <w:sz w:val="32"/>
          <w:szCs w:val="32"/>
        </w:rPr>
      </w:pP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 xml:space="preserve">ففي ‏أفغانستان كان السلوك الأمريكي ‏غير طموح بشكل كبير، ‏إذا أرادت الولايات المتحدة فكوياما ‏الحفاظ على الحد الأدنى من الدولة ومنع تحويل أفغانستان إلى أرض خصبة "للإرهاب"، وارتبط حماس واشنطن لتولي زمام بناء النظام السياسي في كابول بأحداث 11 سبتمبر، وتوجه البيت الأبيض حينها نحو تغيير وجه الشرق الأوسط، وكان توزيع الأدوار -بحسب الكاتب- واضحا وموزعا بدقة بين أمريكا وحلفائها "حلف الناتو"، بالتوازي مع تنسيق </w:t>
      </w:r>
      <w:r w:rsidRPr="002B4802">
        <w:rPr>
          <w:rFonts w:ascii="Simplified Arabic" w:hAnsi="Simplified Arabic" w:cs="Simplified Arabic"/>
          <w:sz w:val="32"/>
          <w:szCs w:val="32"/>
          <w:rtl/>
        </w:rPr>
        <w:lastRenderedPageBreak/>
        <w:t>وشرعنة للعملية الانتقالية أمميا، وشراكة محلية مع فاعلين أفغان في الداخل، واكتفت خلاله القوات الأمريكية بأدوار محدودة ونوعية</w:t>
      </w:r>
      <w:r w:rsidRPr="002B4802">
        <w:rPr>
          <w:rFonts w:ascii="Simplified Arabic" w:hAnsi="Simplified Arabic" w:cs="Simplified Arabic"/>
          <w:sz w:val="32"/>
          <w:szCs w:val="32"/>
        </w:rPr>
        <w:t xml:space="preserve">. </w:t>
      </w: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Pr>
        <w:t xml:space="preserve"> </w:t>
      </w:r>
      <w:r w:rsidRPr="002B4802">
        <w:rPr>
          <w:rFonts w:ascii="Simplified Arabic" w:hAnsi="Simplified Arabic" w:cs="Simplified Arabic"/>
          <w:sz w:val="32"/>
          <w:szCs w:val="32"/>
          <w:rtl/>
        </w:rPr>
        <w:t>في المقابل، كان العراق نموذجا مغايرا، تولّت خلاله أمريكا وبريطانيا المسؤولية المباشرة لتغيير الإدارة السياسية في بغداد، دون شراكة محلية واضحة في بادئ الأمر، ووعدت بتحويله إلى "واحة ديموقراطية"، مستخدمة كثيرا من مواردها لخدمة تلك الأهداف</w:t>
      </w:r>
      <w:r w:rsidRPr="002B4802">
        <w:rPr>
          <w:rFonts w:ascii="Simplified Arabic" w:hAnsi="Simplified Arabic" w:cs="Simplified Arabic"/>
          <w:sz w:val="32"/>
          <w:szCs w:val="32"/>
        </w:rPr>
        <w:t>.</w:t>
      </w:r>
    </w:p>
    <w:p w:rsid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خلاصة المقدمة، يضع فوكوياما الفوارق بين تجربتي أفغانستان والعراق على أساس نمط السلطة المحلية، وطبيعة العلاقة بين واشنطن والحلفاء، بالإضافة إلى القدرات المادية والمنح الدولية، ويكشف إشكالية تقديم مقاربة العملية الانتخابية والمؤسساتية، على حساب مفاهيم السيادة</w:t>
      </w:r>
      <w:r w:rsidRPr="002B4802">
        <w:rPr>
          <w:rFonts w:ascii="Simplified Arabic" w:hAnsi="Simplified Arabic" w:cs="Simplified Arabic"/>
          <w:sz w:val="32"/>
          <w:szCs w:val="32"/>
        </w:rPr>
        <w:t>.</w:t>
      </w:r>
    </w:p>
    <w:p w:rsidR="002B4802" w:rsidRPr="002B4802" w:rsidRDefault="002B4802" w:rsidP="002B4802">
      <w:pPr>
        <w:bidi/>
        <w:spacing w:line="360" w:lineRule="auto"/>
        <w:rPr>
          <w:rFonts w:ascii="Simplified Arabic" w:hAnsi="Simplified Arabic" w:cs="Simplified Arabic"/>
          <w:sz w:val="32"/>
          <w:szCs w:val="32"/>
        </w:rPr>
      </w:pPr>
    </w:p>
    <w:p w:rsidR="002B4802" w:rsidRPr="002B4802" w:rsidRDefault="002B4802" w:rsidP="002B4802">
      <w:pPr>
        <w:bidi/>
        <w:spacing w:line="360" w:lineRule="auto"/>
        <w:rPr>
          <w:rFonts w:ascii="Simplified Arabic" w:hAnsi="Simplified Arabic" w:cs="Simplified Arabic"/>
          <w:b/>
          <w:bCs/>
          <w:sz w:val="32"/>
          <w:szCs w:val="32"/>
        </w:rPr>
      </w:pPr>
      <w:r w:rsidRPr="002B4802">
        <w:rPr>
          <w:rFonts w:ascii="Simplified Arabic" w:hAnsi="Simplified Arabic" w:cs="Simplified Arabic"/>
          <w:b/>
          <w:bCs/>
          <w:sz w:val="32"/>
          <w:szCs w:val="32"/>
          <w:rtl/>
        </w:rPr>
        <w:t>عالم أقوى ودولة أضعف</w:t>
      </w:r>
      <w:r w:rsidRPr="002B4802">
        <w:rPr>
          <w:rFonts w:ascii="Simplified Arabic" w:hAnsi="Simplified Arabic" w:cs="Simplified Arabic"/>
          <w:b/>
          <w:bCs/>
          <w:sz w:val="32"/>
          <w:szCs w:val="32"/>
        </w:rPr>
        <w:t>:</w:t>
      </w:r>
    </w:p>
    <w:p w:rsidR="002B4802"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t>يبحث فوكوياما في الفصل الأخير إشكالية تقلص  سيادة الدول في السياق المعاصر، في مقابل توسع الأفق العولمي لأسباب متعلقة بنمو الاقتصاد العالمي، وصعود الثورة التقنية والمعلوماتية وحركة رأس المال، ما دفع نحو رؤية تركز على ترسيم الدولة داخل في النظام الدولي</w:t>
      </w:r>
      <w:r w:rsidRPr="002B4802">
        <w:rPr>
          <w:rFonts w:ascii="Simplified Arabic" w:hAnsi="Simplified Arabic" w:cs="Simplified Arabic"/>
          <w:sz w:val="32"/>
          <w:szCs w:val="32"/>
        </w:rPr>
        <w:t>.</w:t>
      </w:r>
    </w:p>
    <w:p w:rsidR="002B4802" w:rsidRPr="002B4802" w:rsidRDefault="002B4802" w:rsidP="002B4802">
      <w:pPr>
        <w:bidi/>
        <w:spacing w:line="360" w:lineRule="auto"/>
        <w:rPr>
          <w:rFonts w:ascii="Simplified Arabic" w:hAnsi="Simplified Arabic" w:cs="Simplified Arabic"/>
          <w:sz w:val="32"/>
          <w:szCs w:val="32"/>
        </w:rPr>
      </w:pPr>
    </w:p>
    <w:p w:rsidR="00BD34F0" w:rsidRPr="002B4802" w:rsidRDefault="002B4802" w:rsidP="002B4802">
      <w:pPr>
        <w:bidi/>
        <w:spacing w:line="360" w:lineRule="auto"/>
        <w:rPr>
          <w:rFonts w:ascii="Simplified Arabic" w:hAnsi="Simplified Arabic" w:cs="Simplified Arabic"/>
          <w:sz w:val="32"/>
          <w:szCs w:val="32"/>
        </w:rPr>
      </w:pPr>
      <w:r w:rsidRPr="002B4802">
        <w:rPr>
          <w:rFonts w:ascii="Simplified Arabic" w:hAnsi="Simplified Arabic" w:cs="Simplified Arabic"/>
          <w:sz w:val="32"/>
          <w:szCs w:val="32"/>
          <w:rtl/>
        </w:rPr>
        <w:lastRenderedPageBreak/>
        <w:t>ويحاجج فوكوياما يعدم الحاجة للقوة العسكرية وحدها للحفاظ على مبدأ السيادة، مشيرا إلى ضرورة التدبير المؤسساتي، كضرورة ملحة لتجنب عالم تتصادم فيه القوى، ولكنه يعود إلى مقاربته التقليدية في ضرورة تعزيز الديموقراطية وحقوق الإنسان</w:t>
      </w:r>
      <w:r w:rsidRPr="002B4802">
        <w:rPr>
          <w:rFonts w:ascii="Simplified Arabic" w:hAnsi="Simplified Arabic" w:cs="Simplified Arabic"/>
          <w:sz w:val="32"/>
          <w:szCs w:val="32"/>
        </w:rPr>
        <w:t>.</w:t>
      </w:r>
    </w:p>
    <w:sectPr w:rsidR="00BD34F0" w:rsidRPr="002B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02"/>
    <w:rsid w:val="002B4802"/>
    <w:rsid w:val="003C604B"/>
    <w:rsid w:val="00BD3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37A3"/>
  <w15:chartTrackingRefBased/>
  <w15:docId w15:val="{2CA3B6AC-97F2-4E7B-BC56-0BA37F41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79EE-E3DA-4514-AD64-038B13DE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2022-04-18T22:34:00Z</dcterms:created>
  <dcterms:modified xsi:type="dcterms:W3CDTF">2022-04-18T22:45:00Z</dcterms:modified>
</cp:coreProperties>
</file>