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1"/>
        <w:spacing w:before="0" w:after="300" w:line="360" w:lineRule="auto"/>
        <w:ind w:left="0" w:right="0" w:firstLine="0"/>
        <w:jc w:val="center"/>
        <w:rPr>
          <w:rFonts w:ascii="Arial" w:cs="Arial" w:hAnsi="Arial" w:eastAsia="Arial"/>
          <w:b w:val="1"/>
          <w:bCs w:val="1"/>
          <w:outline w:val="0"/>
          <w:color w:val="202528"/>
          <w:sz w:val="32"/>
          <w:szCs w:val="32"/>
          <w:rtl w:val="1"/>
          <w14:textFill>
            <w14:solidFill>
              <w14:srgbClr w14:val="212529"/>
            </w14:solidFill>
          </w14:textFill>
        </w:rPr>
      </w:pPr>
      <w:r>
        <w:rPr>
          <w:rFonts w:ascii="Arial Unicode MS" w:cs="Arial" w:hAnsi="Arial Unicode MS" w:eastAsia="Arial Unicode MS" w:hint="cs"/>
          <w:b w:val="1"/>
          <w:bCs w:val="1"/>
          <w:outline w:val="0"/>
          <w:color w:val="202528"/>
          <w:sz w:val="32"/>
          <w:szCs w:val="32"/>
          <w:rtl w:val="1"/>
          <w:lang w:val="ar-SA" w:bidi="ar-SA"/>
          <w14:textFill>
            <w14:solidFill>
              <w14:srgbClr w14:val="212529"/>
            </w14:solidFill>
          </w14:textFill>
        </w:rPr>
        <w:t>أدوات السياسة المالية والتأثير في الاستقرار الاقتصادي</w:t>
      </w:r>
    </w:p>
    <w:p>
      <w:pPr>
        <w:pStyle w:val="Default"/>
        <w:bidi w:val="1"/>
        <w:spacing w:before="0" w:after="300" w:line="360" w:lineRule="auto"/>
        <w:ind w:left="0" w:right="0" w:firstLine="0"/>
        <w:jc w:val="both"/>
        <w:rPr>
          <w:rFonts w:ascii="Arial" w:cs="Arial" w:hAnsi="Arial" w:eastAsia="Arial"/>
          <w:outline w:val="0"/>
          <w:color w:val="202528"/>
          <w:sz w:val="32"/>
          <w:szCs w:val="32"/>
          <w:rtl w:val="1"/>
          <w14:textFill>
            <w14:solidFill>
              <w14:srgbClr w14:val="212529"/>
            </w14:solidFill>
          </w14:textFill>
        </w:rPr>
      </w:pPr>
      <w:r>
        <w:rPr>
          <w:rFonts w:ascii="Arial Unicode MS" w:cs="Arial" w:hAnsi="Arial Unicode MS" w:eastAsia="Arial Unicode MS" w:hint="cs"/>
          <w:outline w:val="0"/>
          <w:color w:val="202528"/>
          <w:sz w:val="32"/>
          <w:szCs w:val="32"/>
          <w:rtl w:val="1"/>
          <w:lang w:val="ar-SA" w:bidi="ar-SA"/>
          <w14:textFill>
            <w14:solidFill>
              <w14:srgbClr w14:val="212529"/>
            </w14:solidFill>
          </w14:textFill>
        </w:rPr>
        <w:t xml:space="preserve">كتب </w:t>
      </w:r>
      <w:r>
        <w:rPr>
          <w:rFonts w:ascii="Arial" w:hAnsi="Arial"/>
          <w:outline w:val="0"/>
          <w:color w:val="202528"/>
          <w:sz w:val="32"/>
          <w:szCs w:val="32"/>
          <w:rtl w:val="1"/>
          <w:lang w:val="ar-SA" w:bidi="ar-SA"/>
          <w14:textFill>
            <w14:solidFill>
              <w14:srgbClr w14:val="212529"/>
            </w14:solidFill>
          </w14:textFill>
        </w:rPr>
        <w:t xml:space="preserve">- </w:t>
      </w:r>
      <w:r>
        <w:rPr>
          <w:rFonts w:ascii="Arial Unicode MS" w:cs="Arial" w:hAnsi="Arial Unicode MS" w:eastAsia="Arial Unicode MS" w:hint="cs"/>
          <w:outline w:val="0"/>
          <w:color w:val="202528"/>
          <w:sz w:val="32"/>
          <w:szCs w:val="32"/>
          <w:rtl w:val="1"/>
          <w:lang w:val="ar-SA" w:bidi="ar-SA"/>
          <w14:textFill>
            <w14:solidFill>
              <w14:srgbClr w14:val="212529"/>
            </w14:solidFill>
          </w14:textFill>
        </w:rPr>
        <w:t>حسام الوكيل</w:t>
      </w:r>
    </w:p>
    <w:p>
      <w:pPr>
        <w:pStyle w:val="Default"/>
        <w:bidi w:val="1"/>
        <w:spacing w:before="0" w:after="300" w:line="360" w:lineRule="auto"/>
        <w:ind w:left="0" w:right="0" w:firstLine="0"/>
        <w:jc w:val="both"/>
        <w:rPr>
          <w:rFonts w:ascii="Arial" w:cs="Arial" w:hAnsi="Arial" w:eastAsia="Arial"/>
          <w:outline w:val="0"/>
          <w:color w:val="202528"/>
          <w:sz w:val="32"/>
          <w:szCs w:val="32"/>
          <w:rtl w:val="1"/>
          <w14:textFill>
            <w14:solidFill>
              <w14:srgbClr w14:val="212529"/>
            </w14:solidFill>
          </w14:textFill>
        </w:rPr>
      </w:pPr>
      <w:r>
        <w:rPr>
          <w:rFonts w:ascii="Arial Unicode MS" w:cs="Arial" w:hAnsi="Arial Unicode MS" w:eastAsia="Arial Unicode MS" w:hint="cs"/>
          <w:outline w:val="0"/>
          <w:color w:val="202528"/>
          <w:sz w:val="32"/>
          <w:szCs w:val="32"/>
          <w:rtl w:val="1"/>
          <w:lang w:val="ar-SA" w:bidi="ar-SA"/>
          <w14:textFill>
            <w14:solidFill>
              <w14:srgbClr w14:val="212529"/>
            </w14:solidFill>
          </w14:textFill>
        </w:rPr>
        <w:t xml:space="preserve">تعتبر أدوات السياسة المالية هي المفتاح الذي تستخدمه الحكومات لإدارة عجلة الاقتصاد الوطني في اتجاه يحقق الاستقرار والعدالة، وتتعدد أدوات السياسة المالية بين الموازنة العامة ذاتها، والتي يمكن اعتبارها أداة من أدوات السياسة المالية أو يمكن تحديدها بشكل أكبر من خلال وصفها بـ  خطة إدارة </w:t>
      </w:r>
      <w:r>
        <w:rPr>
          <w:rFonts w:ascii="Arial" w:hAnsi="Arial" w:hint="default"/>
          <w:outline w:val="0"/>
          <w:color w:val="202528"/>
          <w:sz w:val="32"/>
          <w:szCs w:val="32"/>
          <w:rtl w:val="1"/>
          <w:lang w:val="ar-SA" w:bidi="ar-SA"/>
          <w14:textFill>
            <w14:solidFill>
              <w14:srgbClr w14:val="212529"/>
            </w14:solidFill>
          </w14:textFill>
        </w:rPr>
        <w:t>”</w:t>
      </w:r>
      <w:r>
        <w:rPr>
          <w:rFonts w:ascii="Arial Unicode MS" w:cs="Arial" w:hAnsi="Arial Unicode MS" w:eastAsia="Arial Unicode MS" w:hint="cs"/>
          <w:outline w:val="0"/>
          <w:color w:val="202528"/>
          <w:sz w:val="32"/>
          <w:szCs w:val="32"/>
          <w:rtl w:val="1"/>
          <w:lang w:val="ar-SA" w:bidi="ar-SA"/>
          <w14:textFill>
            <w14:solidFill>
              <w14:srgbClr w14:val="212529"/>
            </w14:solidFill>
          </w14:textFill>
        </w:rPr>
        <w:t>النفقات العامة</w:t>
      </w:r>
      <w:r>
        <w:rPr>
          <w:rFonts w:ascii="Arial" w:hAnsi="Arial" w:hint="default"/>
          <w:outline w:val="0"/>
          <w:color w:val="202528"/>
          <w:sz w:val="32"/>
          <w:szCs w:val="32"/>
          <w:rtl w:val="1"/>
          <w:lang w:val="ar-SA" w:bidi="ar-SA"/>
          <w14:textFill>
            <w14:solidFill>
              <w14:srgbClr w14:val="212529"/>
            </w14:solidFill>
          </w14:textFill>
        </w:rPr>
        <w:t>“</w:t>
      </w:r>
      <w:r>
        <w:rPr>
          <w:rFonts w:ascii="Arial Unicode MS" w:cs="Arial" w:hAnsi="Arial Unicode MS" w:eastAsia="Arial Unicode MS" w:hint="cs"/>
          <w:outline w:val="0"/>
          <w:color w:val="202528"/>
          <w:sz w:val="32"/>
          <w:szCs w:val="32"/>
          <w:rtl w:val="1"/>
          <w:lang w:val="ar-SA" w:bidi="ar-SA"/>
          <w14:textFill>
            <w14:solidFill>
              <w14:srgbClr w14:val="212529"/>
            </w14:solidFill>
          </w14:textFill>
        </w:rPr>
        <w:t>، وكذلك من أدوات السياسة المالية الضرائب، والقروض، والمدفوعات التحويلية، وسياسات الدعم، وبرامج الأشغال العامة، ومشروعات التوظيف</w:t>
      </w:r>
      <w:r>
        <w:rPr>
          <w:rFonts w:ascii="Arial" w:hAnsi="Arial"/>
          <w:outline w:val="0"/>
          <w:color w:val="202528"/>
          <w:sz w:val="32"/>
          <w:szCs w:val="32"/>
          <w:rtl w:val="1"/>
          <w:lang w:val="ar-SA" w:bidi="ar-SA"/>
          <w14:textFill>
            <w14:solidFill>
              <w14:srgbClr w14:val="212529"/>
            </w14:solidFill>
          </w14:textFill>
        </w:rPr>
        <w:t xml:space="preserve">. </w:t>
      </w:r>
    </w:p>
    <w:p>
      <w:pPr>
        <w:pStyle w:val="Default"/>
        <w:bidi w:val="1"/>
        <w:spacing w:before="0" w:after="300" w:line="360" w:lineRule="auto"/>
        <w:ind w:left="0" w:right="0" w:firstLine="0"/>
        <w:jc w:val="both"/>
        <w:rPr>
          <w:rFonts w:ascii="Arial" w:cs="Arial" w:hAnsi="Arial" w:eastAsia="Arial"/>
          <w:outline w:val="0"/>
          <w:color w:val="202528"/>
          <w:sz w:val="32"/>
          <w:szCs w:val="32"/>
          <w:rtl w:val="1"/>
          <w14:textFill>
            <w14:solidFill>
              <w14:srgbClr w14:val="212529"/>
            </w14:solidFill>
          </w14:textFill>
        </w:rPr>
      </w:pPr>
      <w:r>
        <w:rPr>
          <w:rFonts w:ascii="Arial Unicode MS" w:cs="Arial" w:hAnsi="Arial Unicode MS" w:eastAsia="Arial Unicode MS" w:hint="cs"/>
          <w:outline w:val="0"/>
          <w:color w:val="202528"/>
          <w:sz w:val="32"/>
          <w:szCs w:val="32"/>
          <w:rtl w:val="1"/>
          <w:lang w:val="ar-SA" w:bidi="ar-SA"/>
          <w14:textFill>
            <w14:solidFill>
              <w14:srgbClr w14:val="212529"/>
            </w14:solidFill>
          </w14:textFill>
        </w:rPr>
        <w:t>إذ يمكن للحكومة في حال أحسنت إدارة أدوات السياسة المالية أن تحقق معدلات نمو اقتصادي إيجابية وحل قضايا البطالة وإتاحة فرص التوظيف والتشغيل للمواطنين، من خلال التركيز في الموازنة على توجيه الإنفاق نحو المشروعات الإنتاجية، وهو ما يحقق أكثر من هدف، إذ توجه الحكومة نحو المشروعات الإنتاجية يشجع القطاع الخاص والاستثمار الأجنبي على الانخراط في ذات الاتجاه، شريطة توفير بيئة قانونية مناسبة للاستثمار ومرونة كافية لدى الجهاز الحكومي لتسهيل عمليات جذب الأموال نحو الاستثمار بالمشروعات الإنتاجية</w:t>
      </w:r>
      <w:r>
        <w:rPr>
          <w:rFonts w:ascii="Arial" w:hAnsi="Arial"/>
          <w:outline w:val="0"/>
          <w:color w:val="202528"/>
          <w:sz w:val="32"/>
          <w:szCs w:val="32"/>
          <w:rtl w:val="1"/>
          <w:lang w:val="ar-SA" w:bidi="ar-SA"/>
          <w14:textFill>
            <w14:solidFill>
              <w14:srgbClr w14:val="212529"/>
            </w14:solidFill>
          </w14:textFill>
        </w:rPr>
        <w:t>.</w:t>
      </w:r>
    </w:p>
    <w:p>
      <w:pPr>
        <w:pStyle w:val="Default"/>
        <w:bidi w:val="1"/>
        <w:spacing w:before="0" w:after="300" w:line="360" w:lineRule="auto"/>
        <w:ind w:left="0" w:right="0" w:firstLine="0"/>
        <w:jc w:val="left"/>
        <w:rPr>
          <w:rFonts w:ascii="Arial" w:cs="Arial" w:hAnsi="Arial" w:eastAsia="Arial"/>
          <w:outline w:val="0"/>
          <w:color w:val="202528"/>
          <w:sz w:val="32"/>
          <w:szCs w:val="32"/>
          <w:rtl w:val="1"/>
          <w14:textFill>
            <w14:solidFill>
              <w14:srgbClr w14:val="212529"/>
            </w14:solidFill>
          </w14:textFill>
        </w:rPr>
      </w:pPr>
      <w:r>
        <w:rPr>
          <w:rFonts w:ascii="Arial Unicode MS" w:cs="Arial" w:hAnsi="Arial Unicode MS" w:eastAsia="Arial Unicode MS" w:hint="cs"/>
          <w:outline w:val="0"/>
          <w:color w:val="202528"/>
          <w:sz w:val="32"/>
          <w:szCs w:val="32"/>
          <w:rtl w:val="1"/>
          <w:lang w:val="ar-SA" w:bidi="ar-SA"/>
          <w14:textFill>
            <w14:solidFill>
              <w14:srgbClr w14:val="212529"/>
            </w14:solidFill>
          </w14:textFill>
        </w:rPr>
        <w:t>وهو ما يعود على الدولة بجملة من الفوائد، منها</w:t>
      </w:r>
      <w:r>
        <w:rPr>
          <w:rFonts w:ascii="Arial" w:hAnsi="Arial"/>
          <w:outline w:val="0"/>
          <w:color w:val="202528"/>
          <w:sz w:val="32"/>
          <w:szCs w:val="32"/>
          <w:rtl w:val="1"/>
          <w:lang w:val="ar-SA" w:bidi="ar-SA"/>
          <w14:textFill>
            <w14:solidFill>
              <w14:srgbClr w14:val="212529"/>
            </w14:solidFill>
          </w14:textFill>
        </w:rPr>
        <w:t>:</w:t>
      </w:r>
    </w:p>
    <w:p>
      <w:pPr>
        <w:pStyle w:val="Default"/>
        <w:numPr>
          <w:ilvl w:val="0"/>
          <w:numId w:val="2"/>
        </w:numPr>
        <w:bidi w:val="1"/>
        <w:spacing w:before="0" w:after="300" w:line="360" w:lineRule="auto"/>
        <w:ind w:right="0"/>
        <w:jc w:val="left"/>
        <w:rPr>
          <w:rFonts w:ascii="Arial Unicode MS" w:cs="Arial" w:hAnsi="Arial Unicode MS" w:eastAsia="Arial Unicode MS" w:hint="cs"/>
          <w:outline w:val="0"/>
          <w:color w:val="202528"/>
          <w:sz w:val="32"/>
          <w:szCs w:val="32"/>
          <w:rtl w:val="1"/>
          <w:lang w:val="ar-SA" w:bidi="ar-SA"/>
          <w14:textFill>
            <w14:solidFill>
              <w14:srgbClr w14:val="212529"/>
            </w14:solidFill>
          </w14:textFill>
        </w:rPr>
      </w:pPr>
      <w:r>
        <w:rPr>
          <w:rFonts w:ascii="Arial Unicode MS" w:cs="Arial" w:hAnsi="Arial Unicode MS" w:eastAsia="Arial Unicode MS" w:hint="cs"/>
          <w:outline w:val="0"/>
          <w:color w:val="202528"/>
          <w:sz w:val="32"/>
          <w:szCs w:val="32"/>
          <w:rtl w:val="1"/>
          <w:lang w:val="ar-SA" w:bidi="ar-SA"/>
          <w14:textFill>
            <w14:solidFill>
              <w14:srgbClr w14:val="212529"/>
            </w14:solidFill>
          </w14:textFill>
        </w:rPr>
        <w:t xml:space="preserve">جذب وتشجيع الاستثمار المحلي </w:t>
      </w:r>
      <w:r>
        <w:rPr>
          <w:rFonts w:ascii="Arial" w:hAnsi="Arial"/>
          <w:outline w:val="0"/>
          <w:color w:val="202528"/>
          <w:sz w:val="32"/>
          <w:szCs w:val="32"/>
          <w:rtl w:val="1"/>
          <w:lang w:val="ar-SA" w:bidi="ar-SA"/>
          <w14:textFill>
            <w14:solidFill>
              <w14:srgbClr w14:val="212529"/>
            </w14:solidFill>
          </w14:textFill>
        </w:rPr>
        <w:t xml:space="preserve">( </w:t>
      </w:r>
      <w:r>
        <w:rPr>
          <w:rFonts w:ascii="Arial Unicode MS" w:cs="Arial" w:hAnsi="Arial Unicode MS" w:eastAsia="Arial Unicode MS" w:hint="cs"/>
          <w:outline w:val="0"/>
          <w:color w:val="202528"/>
          <w:sz w:val="32"/>
          <w:szCs w:val="32"/>
          <w:rtl w:val="1"/>
          <w:lang w:val="ar-SA" w:bidi="ar-SA"/>
          <w14:textFill>
            <w14:solidFill>
              <w14:srgbClr w14:val="212529"/>
            </w14:solidFill>
          </w14:textFill>
        </w:rPr>
        <w:t xml:space="preserve">القطاع الخاص </w:t>
      </w:r>
      <w:r>
        <w:rPr>
          <w:rFonts w:ascii="Arial" w:hAnsi="Arial"/>
          <w:outline w:val="0"/>
          <w:color w:val="202528"/>
          <w:sz w:val="32"/>
          <w:szCs w:val="32"/>
          <w:rtl w:val="1"/>
          <w:lang w:val="ar-SA" w:bidi="ar-SA"/>
          <w14:textFill>
            <w14:solidFill>
              <w14:srgbClr w14:val="212529"/>
            </w14:solidFill>
          </w14:textFill>
        </w:rPr>
        <w:t xml:space="preserve">) </w:t>
      </w:r>
      <w:r>
        <w:rPr>
          <w:rFonts w:ascii="Arial Unicode MS" w:cs="Arial" w:hAnsi="Arial Unicode MS" w:eastAsia="Arial Unicode MS" w:hint="cs"/>
          <w:outline w:val="0"/>
          <w:color w:val="202528"/>
          <w:sz w:val="32"/>
          <w:szCs w:val="32"/>
          <w:rtl w:val="1"/>
          <w:lang w:val="ar-SA" w:bidi="ar-SA"/>
          <w14:textFill>
            <w14:solidFill>
              <w14:srgbClr w14:val="212529"/>
            </w14:solidFill>
          </w14:textFill>
        </w:rPr>
        <w:t>والأجنبي</w:t>
      </w:r>
      <w:r>
        <w:rPr>
          <w:rFonts w:ascii="Arial" w:hAnsi="Arial"/>
          <w:outline w:val="0"/>
          <w:color w:val="202528"/>
          <w:sz w:val="32"/>
          <w:szCs w:val="32"/>
          <w:rtl w:val="1"/>
          <w:lang w:val="ar-SA" w:bidi="ar-SA"/>
          <w14:textFill>
            <w14:solidFill>
              <w14:srgbClr w14:val="212529"/>
            </w14:solidFill>
          </w14:textFill>
        </w:rPr>
        <w:t>.</w:t>
      </w:r>
    </w:p>
    <w:p>
      <w:pPr>
        <w:pStyle w:val="Default"/>
        <w:numPr>
          <w:ilvl w:val="0"/>
          <w:numId w:val="2"/>
        </w:numPr>
        <w:bidi w:val="1"/>
        <w:spacing w:before="0" w:after="300" w:line="360" w:lineRule="auto"/>
        <w:ind w:right="0"/>
        <w:jc w:val="left"/>
        <w:rPr>
          <w:rFonts w:ascii="Arial Unicode MS" w:cs="Arial" w:hAnsi="Arial Unicode MS" w:eastAsia="Arial Unicode MS" w:hint="cs"/>
          <w:outline w:val="0"/>
          <w:color w:val="202528"/>
          <w:sz w:val="32"/>
          <w:szCs w:val="32"/>
          <w:rtl w:val="1"/>
          <w:lang w:val="ar-SA" w:bidi="ar-SA"/>
          <w14:textFill>
            <w14:solidFill>
              <w14:srgbClr w14:val="212529"/>
            </w14:solidFill>
          </w14:textFill>
        </w:rPr>
      </w:pPr>
      <w:r>
        <w:rPr>
          <w:rFonts w:ascii="Arial Unicode MS" w:cs="Arial" w:hAnsi="Arial Unicode MS" w:eastAsia="Arial Unicode MS" w:hint="cs"/>
          <w:outline w:val="0"/>
          <w:color w:val="202528"/>
          <w:sz w:val="32"/>
          <w:szCs w:val="32"/>
          <w:rtl w:val="1"/>
          <w:lang w:val="ar-SA" w:bidi="ar-SA"/>
          <w14:textFill>
            <w14:solidFill>
              <w14:srgbClr w14:val="212529"/>
            </w14:solidFill>
          </w14:textFill>
        </w:rPr>
        <w:t>زيادة حصيلة الضرائب على أرباح المشروعات والاستثمارات الجديدة</w:t>
      </w:r>
      <w:r>
        <w:rPr>
          <w:rFonts w:ascii="Arial" w:hAnsi="Arial"/>
          <w:outline w:val="0"/>
          <w:color w:val="202528"/>
          <w:sz w:val="32"/>
          <w:szCs w:val="32"/>
          <w:rtl w:val="1"/>
          <w:lang w:val="ar-SA" w:bidi="ar-SA"/>
          <w14:textFill>
            <w14:solidFill>
              <w14:srgbClr w14:val="212529"/>
            </w14:solidFill>
          </w14:textFill>
        </w:rPr>
        <w:t>.</w:t>
      </w:r>
    </w:p>
    <w:p>
      <w:pPr>
        <w:pStyle w:val="Default"/>
        <w:numPr>
          <w:ilvl w:val="0"/>
          <w:numId w:val="2"/>
        </w:numPr>
        <w:bidi w:val="1"/>
        <w:spacing w:before="0" w:after="300" w:line="360" w:lineRule="auto"/>
        <w:ind w:right="0"/>
        <w:jc w:val="left"/>
        <w:rPr>
          <w:rFonts w:ascii="Arial Unicode MS" w:cs="Arial" w:hAnsi="Arial Unicode MS" w:eastAsia="Arial Unicode MS" w:hint="cs"/>
          <w:outline w:val="0"/>
          <w:color w:val="202528"/>
          <w:sz w:val="32"/>
          <w:szCs w:val="32"/>
          <w:rtl w:val="1"/>
          <w:lang w:val="ar-SA" w:bidi="ar-SA"/>
          <w14:textFill>
            <w14:solidFill>
              <w14:srgbClr w14:val="212529"/>
            </w14:solidFill>
          </w14:textFill>
        </w:rPr>
      </w:pPr>
      <w:r>
        <w:rPr>
          <w:rFonts w:ascii="Arial Unicode MS" w:cs="Arial" w:hAnsi="Arial Unicode MS" w:eastAsia="Arial Unicode MS" w:hint="cs"/>
          <w:outline w:val="0"/>
          <w:color w:val="202528"/>
          <w:sz w:val="32"/>
          <w:szCs w:val="32"/>
          <w:rtl w:val="1"/>
          <w:lang w:val="ar-SA" w:bidi="ar-SA"/>
          <w14:textFill>
            <w14:solidFill>
              <w14:srgbClr w14:val="212529"/>
            </w14:solidFill>
          </w14:textFill>
        </w:rPr>
        <w:t>رفع قيمة الناتج المحلي الإجمالي، وبالتالي تحسين معدلات النمو الإيجابي</w:t>
      </w:r>
      <w:r>
        <w:rPr>
          <w:rFonts w:ascii="Arial" w:hAnsi="Arial"/>
          <w:outline w:val="0"/>
          <w:color w:val="202528"/>
          <w:sz w:val="32"/>
          <w:szCs w:val="32"/>
          <w:rtl w:val="1"/>
          <w:lang w:val="ar-SA" w:bidi="ar-SA"/>
          <w14:textFill>
            <w14:solidFill>
              <w14:srgbClr w14:val="212529"/>
            </w14:solidFill>
          </w14:textFill>
        </w:rPr>
        <w:t>.</w:t>
      </w:r>
    </w:p>
    <w:p>
      <w:pPr>
        <w:pStyle w:val="Default"/>
        <w:numPr>
          <w:ilvl w:val="0"/>
          <w:numId w:val="2"/>
        </w:numPr>
        <w:bidi w:val="1"/>
        <w:spacing w:before="0" w:after="300" w:line="360" w:lineRule="auto"/>
        <w:ind w:right="0"/>
        <w:jc w:val="left"/>
        <w:rPr>
          <w:rFonts w:ascii="Arial Unicode MS" w:cs="Arial" w:hAnsi="Arial Unicode MS" w:eastAsia="Arial Unicode MS" w:hint="cs"/>
          <w:outline w:val="0"/>
          <w:color w:val="202528"/>
          <w:sz w:val="32"/>
          <w:szCs w:val="32"/>
          <w:rtl w:val="1"/>
          <w:lang w:val="ar-SA" w:bidi="ar-SA"/>
          <w14:textFill>
            <w14:solidFill>
              <w14:srgbClr w14:val="212529"/>
            </w14:solidFill>
          </w14:textFill>
        </w:rPr>
      </w:pPr>
      <w:r>
        <w:rPr>
          <w:rFonts w:ascii="Arial Unicode MS" w:cs="Arial" w:hAnsi="Arial Unicode MS" w:eastAsia="Arial Unicode MS" w:hint="cs"/>
          <w:outline w:val="0"/>
          <w:color w:val="202528"/>
          <w:sz w:val="32"/>
          <w:szCs w:val="32"/>
          <w:rtl w:val="1"/>
          <w:lang w:val="ar-SA" w:bidi="ar-SA"/>
          <w14:textFill>
            <w14:solidFill>
              <w14:srgbClr w14:val="212529"/>
            </w14:solidFill>
          </w14:textFill>
        </w:rPr>
        <w:t>زيادة الإيرادات، خاصة في المجالات الانتاجية ذات الأسواق التصديرية، والتي تساهم في جلب العملة الأجنبية وبالتالي تحسين سعر صرف العملة المحلية</w:t>
      </w:r>
      <w:r>
        <w:rPr>
          <w:rFonts w:ascii="Arial" w:hAnsi="Arial"/>
          <w:outline w:val="0"/>
          <w:color w:val="202528"/>
          <w:sz w:val="32"/>
          <w:szCs w:val="32"/>
          <w:rtl w:val="1"/>
          <w:lang w:val="ar-SA" w:bidi="ar-SA"/>
          <w14:textFill>
            <w14:solidFill>
              <w14:srgbClr w14:val="212529"/>
            </w14:solidFill>
          </w14:textFill>
        </w:rPr>
        <w:t>.</w:t>
      </w:r>
    </w:p>
    <w:p>
      <w:pPr>
        <w:pStyle w:val="Default"/>
        <w:numPr>
          <w:ilvl w:val="0"/>
          <w:numId w:val="2"/>
        </w:numPr>
        <w:bidi w:val="1"/>
        <w:spacing w:before="0" w:after="300" w:line="360" w:lineRule="auto"/>
        <w:ind w:right="0"/>
        <w:jc w:val="left"/>
        <w:rPr>
          <w:rFonts w:ascii="Arial Unicode MS" w:cs="Arial" w:hAnsi="Arial Unicode MS" w:eastAsia="Arial Unicode MS" w:hint="cs"/>
          <w:outline w:val="0"/>
          <w:color w:val="202528"/>
          <w:sz w:val="32"/>
          <w:szCs w:val="32"/>
          <w:rtl w:val="1"/>
          <w:lang w:val="ar-SA" w:bidi="ar-SA"/>
          <w14:textFill>
            <w14:solidFill>
              <w14:srgbClr w14:val="212529"/>
            </w14:solidFill>
          </w14:textFill>
        </w:rPr>
      </w:pPr>
      <w:r>
        <w:rPr>
          <w:rFonts w:ascii="Arial Unicode MS" w:cs="Arial" w:hAnsi="Arial Unicode MS" w:eastAsia="Arial Unicode MS" w:hint="cs"/>
          <w:outline w:val="0"/>
          <w:color w:val="202528"/>
          <w:sz w:val="32"/>
          <w:szCs w:val="32"/>
          <w:rtl w:val="1"/>
          <w:lang w:val="ar-SA" w:bidi="ar-SA"/>
          <w14:textFill>
            <w14:solidFill>
              <w14:srgbClr w14:val="212529"/>
            </w14:solidFill>
          </w14:textFill>
        </w:rPr>
        <w:t>إتاحة فرص جديدة للعمل والتوظيف، ما يقلل نسبة البطالة ويرفع نسبة المشتغلين من أصل قوة العمل</w:t>
      </w:r>
      <w:r>
        <w:rPr>
          <w:rFonts w:ascii="Arial" w:hAnsi="Arial"/>
          <w:outline w:val="0"/>
          <w:color w:val="202528"/>
          <w:sz w:val="32"/>
          <w:szCs w:val="32"/>
          <w:rtl w:val="1"/>
          <w:lang w:val="ar-SA" w:bidi="ar-SA"/>
          <w14:textFill>
            <w14:solidFill>
              <w14:srgbClr w14:val="212529"/>
            </w14:solidFill>
          </w14:textFill>
        </w:rPr>
        <w:t xml:space="preserve">. </w:t>
      </w:r>
    </w:p>
    <w:p>
      <w:pPr>
        <w:pStyle w:val="Default"/>
        <w:bidi w:val="1"/>
        <w:spacing w:before="0" w:after="300" w:line="360" w:lineRule="auto"/>
        <w:ind w:left="0" w:right="0" w:firstLine="0"/>
        <w:jc w:val="both"/>
        <w:rPr>
          <w:rFonts w:ascii="Arial" w:cs="Arial" w:hAnsi="Arial" w:eastAsia="Arial"/>
          <w:outline w:val="0"/>
          <w:color w:val="202528"/>
          <w:sz w:val="32"/>
          <w:szCs w:val="32"/>
          <w:rtl w:val="1"/>
          <w14:textFill>
            <w14:solidFill>
              <w14:srgbClr w14:val="212529"/>
            </w14:solidFill>
          </w14:textFill>
        </w:rPr>
      </w:pPr>
      <w:r>
        <w:rPr>
          <w:rFonts w:ascii="Arial Unicode MS" w:cs="Arial" w:hAnsi="Arial Unicode MS" w:eastAsia="Arial Unicode MS" w:hint="cs"/>
          <w:outline w:val="0"/>
          <w:color w:val="202528"/>
          <w:sz w:val="32"/>
          <w:szCs w:val="32"/>
          <w:rtl w:val="1"/>
          <w:lang w:val="ar-SA" w:bidi="ar-SA"/>
          <w14:textFill>
            <w14:solidFill>
              <w14:srgbClr w14:val="212529"/>
            </w14:solidFill>
          </w14:textFill>
        </w:rPr>
        <w:t xml:space="preserve">وكذلك فإن توجيه النفقات العامة نحو برامج الأشغال العامة، </w:t>
      </w:r>
      <w:r>
        <w:rPr>
          <w:rFonts w:ascii="Arial Unicode MS" w:cs="Arial" w:hAnsi="Arial Unicode MS" w:eastAsia="Arial Unicode MS" w:hint="cs"/>
          <w:outline w:val="0"/>
          <w:color w:val="202528"/>
          <w:sz w:val="32"/>
          <w:szCs w:val="32"/>
          <w:rtl w:val="1"/>
          <w:lang w:val="ar-SA" w:bidi="ar-SA"/>
          <w14:textFill>
            <w14:solidFill>
              <w14:srgbClr w14:val="212529"/>
            </w14:solidFill>
          </w14:textFill>
        </w:rPr>
        <w:t>مثل مشروعات البنية التحتية،</w:t>
      </w:r>
      <w:r>
        <w:rPr>
          <w:rFonts w:ascii="Arial Unicode MS" w:cs="Arial" w:hAnsi="Arial Unicode MS" w:eastAsia="Arial Unicode MS" w:hint="cs"/>
          <w:outline w:val="0"/>
          <w:color w:val="202528"/>
          <w:sz w:val="32"/>
          <w:szCs w:val="32"/>
          <w:rtl w:val="1"/>
          <w:lang w:val="ar-SA" w:bidi="ar-SA"/>
          <w14:textFill>
            <w14:solidFill>
              <w14:srgbClr w14:val="212529"/>
            </w14:solidFill>
          </w14:textFill>
        </w:rPr>
        <w:t xml:space="preserve"> والتي لا تعتبر مشاريع إنتاجية، إلا أنها تسهم بشكل كبير في الاستقرار الاقتصادي، من خلال مساهمتها في عمليات التوظيف والتشغيل وبالتالي تقليل نسبة المتعطلين، فضلًا عن أن تلك المشروعات هي أحد أهم الحلول لمواجهة الكساد، إذ من خلال فتح المجال للتوظيف بتلك المشروعات ترتفع القوة الشرائية للأفراد، فضلًا عن الاحتياجات المطلوبة لتنفيذ تلك المشروعات، فإنها تساهم بشكل كبير في إنعاش حركة البيع والشراء، وبالتالي تقليل حالة الكساد أو القضاء عليها</w:t>
      </w:r>
      <w:r>
        <w:rPr>
          <w:rFonts w:ascii="Arial" w:hAnsi="Arial"/>
          <w:outline w:val="0"/>
          <w:color w:val="202528"/>
          <w:sz w:val="32"/>
          <w:szCs w:val="32"/>
          <w:rtl w:val="1"/>
          <w:lang w:val="ar-SA" w:bidi="ar-SA"/>
          <w14:textFill>
            <w14:solidFill>
              <w14:srgbClr w14:val="212529"/>
            </w14:solidFill>
          </w14:textFill>
        </w:rPr>
        <w:t>.</w:t>
      </w:r>
    </w:p>
    <w:p>
      <w:pPr>
        <w:pStyle w:val="Default"/>
        <w:bidi w:val="1"/>
        <w:spacing w:before="0" w:after="300" w:line="360" w:lineRule="auto"/>
        <w:ind w:left="0" w:right="0" w:firstLine="0"/>
        <w:jc w:val="both"/>
        <w:rPr>
          <w:rFonts w:ascii="Arial" w:cs="Arial" w:hAnsi="Arial" w:eastAsia="Arial"/>
          <w:outline w:val="0"/>
          <w:color w:val="202528"/>
          <w:sz w:val="32"/>
          <w:szCs w:val="32"/>
          <w:rtl w:val="1"/>
          <w14:textFill>
            <w14:solidFill>
              <w14:srgbClr w14:val="212529"/>
            </w14:solidFill>
          </w14:textFill>
        </w:rPr>
      </w:pPr>
      <w:r>
        <w:rPr>
          <w:rFonts w:ascii="Arial Unicode MS" w:cs="Arial" w:hAnsi="Arial Unicode MS" w:eastAsia="Arial Unicode MS" w:hint="cs"/>
          <w:outline w:val="0"/>
          <w:color w:val="202528"/>
          <w:sz w:val="32"/>
          <w:szCs w:val="32"/>
          <w:rtl w:val="1"/>
          <w:lang w:val="ar-SA" w:bidi="ar-SA"/>
          <w14:textFill>
            <w14:solidFill>
              <w14:srgbClr w14:val="212529"/>
            </w14:solidFill>
          </w14:textFill>
        </w:rPr>
        <w:t>ويمكن لخطة الحكومة لإدارة أدوات السياسة المالية أن تعتمد أيضًا على المدفوعات التحويلية، والتي يقصد بها الأموال المقدمة إلى الفقراء في شكل منح ومساعدات دون مقابل، كي تسهم في القضاء على حالة الكساد إذ تقوم تلك المدفوعات برفع القدرة الشرائية للمواطنين، وبالتالي رفع حجم الاستهلاك للسلع، وهو ما يترتب عليه زيادة في الانتاج لزيادة المعروض، وبالتالي زيادة حركة البيع والشراء وزيادة حصيلة الضرائب</w:t>
      </w:r>
      <w:r>
        <w:rPr>
          <w:rFonts w:ascii="Arial" w:hAnsi="Arial"/>
          <w:outline w:val="0"/>
          <w:color w:val="202528"/>
          <w:sz w:val="32"/>
          <w:szCs w:val="32"/>
          <w:rtl w:val="1"/>
          <w:lang w:val="ar-SA" w:bidi="ar-SA"/>
          <w14:textFill>
            <w14:solidFill>
              <w14:srgbClr w14:val="212529"/>
            </w14:solidFill>
          </w14:textFill>
        </w:rPr>
        <w:t>.</w:t>
      </w:r>
    </w:p>
    <w:p>
      <w:pPr>
        <w:pStyle w:val="Default"/>
        <w:bidi w:val="1"/>
        <w:spacing w:before="0" w:after="300" w:line="360" w:lineRule="auto"/>
        <w:ind w:left="0" w:right="0" w:firstLine="0"/>
        <w:jc w:val="left"/>
        <w:rPr>
          <w:rFonts w:ascii="Arial" w:cs="Arial" w:hAnsi="Arial" w:eastAsia="Arial"/>
          <w:outline w:val="0"/>
          <w:color w:val="202528"/>
          <w:sz w:val="32"/>
          <w:szCs w:val="32"/>
          <w:rtl w:val="1"/>
          <w14:textFill>
            <w14:solidFill>
              <w14:srgbClr w14:val="212529"/>
            </w14:solidFill>
          </w14:textFill>
        </w:rPr>
      </w:pPr>
      <w:r>
        <w:rPr>
          <w:rFonts w:ascii="Arial Unicode MS" w:cs="Arial" w:hAnsi="Arial Unicode MS" w:eastAsia="Arial Unicode MS" w:hint="cs"/>
          <w:outline w:val="0"/>
          <w:color w:val="202528"/>
          <w:sz w:val="32"/>
          <w:szCs w:val="32"/>
          <w:rtl w:val="1"/>
          <w:lang w:val="ar-SA" w:bidi="ar-SA"/>
          <w14:textFill>
            <w14:solidFill>
              <w14:srgbClr w14:val="212529"/>
            </w14:solidFill>
          </w14:textFill>
        </w:rPr>
        <w:t>ومن أشكال توجيه الانفاق العام كأحد أدوات السياسة المالية، هي سياسة الدعم، وهي سياسة تعمل بشكل كبير على تحقيق العدالة الاجتماعية من جانب، ومواجهة الكساد من جانب آخر، إذ تقوم سياسات الدعم على رفع قدرة المواطن الفقير على الشراء، إما بأسعار مخفضة، أو من بالشراء على حساب الدولة، وهو ما يجعل عملية الانتاج مستمرة، وحركة البيع مستمرة، لتحقيق التوازن بين الانتاج والبيع، وكذلك سد الفجوة بين القدرة الشرائية للمواطن الفقير وبين الأسعار وبالتالي مواجهة الفقر</w:t>
      </w:r>
      <w:r>
        <w:rPr>
          <w:rFonts w:ascii="Arial" w:hAnsi="Arial"/>
          <w:outline w:val="0"/>
          <w:color w:val="202528"/>
          <w:sz w:val="32"/>
          <w:szCs w:val="32"/>
          <w:rtl w:val="1"/>
          <w:lang w:val="ar-SA" w:bidi="ar-SA"/>
          <w14:textFill>
            <w14:solidFill>
              <w14:srgbClr w14:val="212529"/>
            </w14:solidFill>
          </w14:textFill>
        </w:rPr>
        <w:t>.</w:t>
      </w:r>
    </w:p>
    <w:p>
      <w:pPr>
        <w:pStyle w:val="Default"/>
        <w:bidi w:val="1"/>
        <w:spacing w:before="0" w:after="300" w:line="360" w:lineRule="auto"/>
        <w:ind w:left="0" w:right="0" w:firstLine="0"/>
        <w:jc w:val="left"/>
        <w:rPr>
          <w:rFonts w:ascii="Arial" w:cs="Arial" w:hAnsi="Arial" w:eastAsia="Arial"/>
          <w:outline w:val="0"/>
          <w:color w:val="202528"/>
          <w:sz w:val="32"/>
          <w:szCs w:val="32"/>
          <w:rtl w:val="1"/>
          <w14:textFill>
            <w14:solidFill>
              <w14:srgbClr w14:val="212529"/>
            </w14:solidFill>
          </w14:textFill>
        </w:rPr>
      </w:pPr>
      <w:r>
        <w:rPr>
          <w:rFonts w:ascii="Arial Unicode MS" w:cs="Arial" w:hAnsi="Arial Unicode MS" w:eastAsia="Arial Unicode MS" w:hint="cs"/>
          <w:outline w:val="0"/>
          <w:color w:val="202528"/>
          <w:sz w:val="32"/>
          <w:szCs w:val="32"/>
          <w:rtl w:val="1"/>
          <w:lang w:val="ar-SA" w:bidi="ar-SA"/>
          <w14:textFill>
            <w14:solidFill>
              <w14:srgbClr w14:val="212529"/>
            </w14:solidFill>
          </w14:textFill>
        </w:rPr>
        <w:t>وهو ما يمكن تحقيقه أيضًا بنسب أقل من خلال برامج التوظيف العامة، والتي تهدف من خلالها الحكومة توفير فرص عمل مؤقتة للخريجين الجدد والمتعطلين عن العمل، وبالتالي خفض نسب البطالة، ورفع القوة الشرائية لتلك الشريحة، وإدماجهم في سوق العمل بما يؤهلهم للحصول على وظائف أفضل</w:t>
      </w:r>
      <w:r>
        <w:rPr>
          <w:rFonts w:ascii="Arial" w:hAnsi="Arial"/>
          <w:outline w:val="0"/>
          <w:color w:val="202528"/>
          <w:sz w:val="32"/>
          <w:szCs w:val="32"/>
          <w:rtl w:val="1"/>
          <w:lang w:val="ar-SA" w:bidi="ar-SA"/>
          <w14:textFill>
            <w14:solidFill>
              <w14:srgbClr w14:val="212529"/>
            </w14:solidFill>
          </w14:textFill>
        </w:rPr>
        <w:t>.</w:t>
      </w:r>
    </w:p>
    <w:p>
      <w:pPr>
        <w:pStyle w:val="Default"/>
        <w:bidi w:val="1"/>
        <w:spacing w:before="0" w:after="300" w:line="360" w:lineRule="auto"/>
        <w:ind w:left="0" w:right="0" w:firstLine="0"/>
        <w:jc w:val="left"/>
        <w:rPr>
          <w:rFonts w:ascii="Arial" w:cs="Arial" w:hAnsi="Arial" w:eastAsia="Arial"/>
          <w:outline w:val="0"/>
          <w:color w:val="202528"/>
          <w:sz w:val="32"/>
          <w:szCs w:val="32"/>
          <w:rtl w:val="1"/>
          <w14:textFill>
            <w14:solidFill>
              <w14:srgbClr w14:val="212529"/>
            </w14:solidFill>
          </w14:textFill>
        </w:rPr>
      </w:pPr>
      <w:r>
        <w:rPr>
          <w:rFonts w:ascii="Arial Unicode MS" w:cs="Arial" w:hAnsi="Arial Unicode MS" w:eastAsia="Arial Unicode MS" w:hint="cs"/>
          <w:outline w:val="0"/>
          <w:color w:val="202528"/>
          <w:sz w:val="32"/>
          <w:szCs w:val="32"/>
          <w:rtl w:val="1"/>
          <w:lang w:val="ar-SA" w:bidi="ar-SA"/>
          <w14:textFill>
            <w14:solidFill>
              <w14:srgbClr w14:val="212529"/>
            </w14:solidFill>
          </w14:textFill>
        </w:rPr>
        <w:t>كما أن للسياسة المالية أدوات أخرى مختلفة عن الإنفاق العام، تسهم أيضًا في الاستقرار الاقتصادي، والتي تتمثل في عدد من الإجراءات منها الضرائب التصاعدية وكذلك تغيير معدلات الضريبة</w:t>
      </w:r>
      <w:r>
        <w:rPr>
          <w:rFonts w:ascii="Arial" w:hAnsi="Arial"/>
          <w:outline w:val="0"/>
          <w:color w:val="202528"/>
          <w:sz w:val="32"/>
          <w:szCs w:val="32"/>
          <w:rtl w:val="1"/>
          <w:lang w:val="ar-SA" w:bidi="ar-SA"/>
          <w14:textFill>
            <w14:solidFill>
              <w14:srgbClr w14:val="212529"/>
            </w14:solidFill>
          </w14:textFill>
        </w:rPr>
        <w:t>.</w:t>
      </w:r>
    </w:p>
    <w:p>
      <w:pPr>
        <w:pStyle w:val="Default"/>
        <w:bidi w:val="1"/>
        <w:spacing w:before="0" w:after="300" w:line="360" w:lineRule="auto"/>
        <w:ind w:left="0" w:right="0" w:firstLine="0"/>
        <w:jc w:val="left"/>
        <w:rPr>
          <w:rFonts w:ascii="Arial" w:cs="Arial" w:hAnsi="Arial" w:eastAsia="Arial"/>
          <w:outline w:val="0"/>
          <w:color w:val="202528"/>
          <w:sz w:val="32"/>
          <w:szCs w:val="32"/>
          <w:rtl w:val="1"/>
          <w14:textFill>
            <w14:solidFill>
              <w14:srgbClr w14:val="212529"/>
            </w14:solidFill>
          </w14:textFill>
        </w:rPr>
      </w:pPr>
      <w:r>
        <w:rPr>
          <w:rFonts w:ascii="Arial Unicode MS" w:cs="Arial" w:hAnsi="Arial Unicode MS" w:eastAsia="Arial Unicode MS" w:hint="cs"/>
          <w:outline w:val="0"/>
          <w:color w:val="202528"/>
          <w:sz w:val="32"/>
          <w:szCs w:val="32"/>
          <w:rtl w:val="1"/>
          <w:lang w:val="ar-SA" w:bidi="ar-SA"/>
          <w14:textFill>
            <w14:solidFill>
              <w14:srgbClr w14:val="212529"/>
            </w14:solidFill>
          </w14:textFill>
        </w:rPr>
        <w:t>فالضرائب التصاعدية والتي تعمل على رفع نسبة الضريبة كلما زادت الشريحة أو الفئة المالية سواء كانت الضريبة على الدخل أو ضريبة رأسمالية، فإنها في هذه الحالة تعمل على تحقيق العدالة الاجتماعية بين طبقات المجتمع، فكلما زاد ثراء المواطن أو المؤسسة، كلما زادت نسبة الضرائب، وليس فقط قيمتها، وهو ما يمّكن الدولة من الحصول على الأموال اللازمة من الأغنياء لتوفير سبل العيش الكريم للفقراء</w:t>
      </w:r>
      <w:r>
        <w:rPr>
          <w:rFonts w:ascii="Arial" w:hAnsi="Arial"/>
          <w:outline w:val="0"/>
          <w:color w:val="202528"/>
          <w:sz w:val="32"/>
          <w:szCs w:val="32"/>
          <w:rtl w:val="1"/>
          <w:lang w:val="ar-SA" w:bidi="ar-SA"/>
          <w14:textFill>
            <w14:solidFill>
              <w14:srgbClr w14:val="212529"/>
            </w14:solidFill>
          </w14:textFill>
        </w:rPr>
        <w:t>.</w:t>
      </w:r>
    </w:p>
    <w:p>
      <w:pPr>
        <w:pStyle w:val="Default"/>
        <w:bidi w:val="1"/>
        <w:spacing w:before="0" w:after="300" w:line="360" w:lineRule="auto"/>
        <w:ind w:left="0" w:right="0" w:firstLine="0"/>
        <w:jc w:val="left"/>
        <w:rPr>
          <w:rFonts w:ascii="Arial" w:cs="Arial" w:hAnsi="Arial" w:eastAsia="Arial"/>
          <w:outline w:val="0"/>
          <w:color w:val="202528"/>
          <w:sz w:val="32"/>
          <w:szCs w:val="32"/>
          <w:rtl w:val="1"/>
          <w14:textFill>
            <w14:solidFill>
              <w14:srgbClr w14:val="212529"/>
            </w14:solidFill>
          </w14:textFill>
        </w:rPr>
      </w:pPr>
      <w:r>
        <w:rPr>
          <w:rFonts w:ascii="Arial Unicode MS" w:cs="Arial" w:hAnsi="Arial Unicode MS" w:eastAsia="Arial Unicode MS" w:hint="cs"/>
          <w:outline w:val="0"/>
          <w:color w:val="202528"/>
          <w:sz w:val="32"/>
          <w:szCs w:val="32"/>
          <w:rtl w:val="1"/>
          <w:lang w:val="ar-SA" w:bidi="ar-SA"/>
          <w14:textFill>
            <w14:solidFill>
              <w14:srgbClr w14:val="212529"/>
            </w14:solidFill>
          </w14:textFill>
        </w:rPr>
        <w:t>وكذلك فإن تغيير معدل الضريبة هو إجراء ضروري في حالتي الكساد أو التضخم على حد سواء، فتخفيض قيمة الضريبة يؤدي الى زيادة القدرة الشرائية للمواطنين وبالتالي إنعاش حركة البيع والشراء ما يؤدي إلى مواجهة حالة الكساد، وعلى النقيض فإن رفع قيمة الضريبة يعمل على سحب الأموال من أيدي المواطنين، وتخفيض القدرة الشرائية ما يؤدي إلى إنهاء القوة الشرائية المفرطة التي تتسبب في كثير من الأحيان في التضخم</w:t>
      </w:r>
      <w:r>
        <w:rPr>
          <w:rFonts w:ascii="Arial" w:hAnsi="Arial"/>
          <w:outline w:val="0"/>
          <w:color w:val="202528"/>
          <w:sz w:val="32"/>
          <w:szCs w:val="32"/>
          <w:rtl w:val="1"/>
          <w:lang w:val="ar-SA" w:bidi="ar-SA"/>
          <w14:textFill>
            <w14:solidFill>
              <w14:srgbClr w14:val="212529"/>
            </w14:solidFill>
          </w14:textFill>
        </w:rPr>
        <w:t>.</w:t>
      </w:r>
    </w:p>
    <w:p>
      <w:pPr>
        <w:pStyle w:val="Default"/>
        <w:bidi w:val="1"/>
        <w:spacing w:before="0" w:after="300" w:line="360" w:lineRule="auto"/>
        <w:ind w:left="0" w:right="0" w:firstLine="0"/>
        <w:jc w:val="left"/>
        <w:rPr>
          <w:rFonts w:ascii="Arial" w:cs="Arial" w:hAnsi="Arial" w:eastAsia="Arial"/>
          <w:outline w:val="0"/>
          <w:color w:val="202528"/>
          <w:sz w:val="32"/>
          <w:szCs w:val="32"/>
          <w:rtl w:val="1"/>
          <w14:textFill>
            <w14:solidFill>
              <w14:srgbClr w14:val="212529"/>
            </w14:solidFill>
          </w14:textFill>
        </w:rPr>
      </w:pPr>
      <w:r>
        <w:rPr>
          <w:rFonts w:ascii="Arial Unicode MS" w:cs="Arial" w:hAnsi="Arial Unicode MS" w:eastAsia="Arial Unicode MS" w:hint="cs"/>
          <w:outline w:val="0"/>
          <w:color w:val="202528"/>
          <w:sz w:val="32"/>
          <w:szCs w:val="32"/>
          <w:rtl w:val="1"/>
          <w:lang w:val="ar-SA" w:bidi="ar-SA"/>
          <w14:textFill>
            <w14:solidFill>
              <w14:srgbClr w14:val="212529"/>
            </w14:solidFill>
          </w14:textFill>
        </w:rPr>
        <w:t>وليست الضرائب وحدها التي يمكنها أن تقوم بهذا الدور في مواجهة التضخم أو الكساد، ولكن أيضًا القروض، إذ يمكن للحكومة أن تعمل على الاقتراض الداخلي، بهدف سحب الأموال من المواطنين بما يقلل من القدرة الشرائية في الوقت الراهن، وبالتالي خفض الطلب على السلع، بما يؤدي الى انخفاض الاسعار والقضاء النسبي على التضخم، وهو الاتجاه الذي لا يقضي كليا على القدرة الشرائية ولكنه يؤجلها إلى فترة أخرى، فتعد تلك القوة الشرائية مؤجلة لحين انتهاء فترة القرض، وتحسن حالة الأسعار في تلك الفترة</w:t>
      </w:r>
      <w:r>
        <w:rPr>
          <w:rFonts w:ascii="Arial" w:hAnsi="Arial"/>
          <w:outline w:val="0"/>
          <w:color w:val="202528"/>
          <w:sz w:val="32"/>
          <w:szCs w:val="32"/>
          <w:rtl w:val="1"/>
          <w:lang w:val="ar-SA" w:bidi="ar-SA"/>
          <w14:textFill>
            <w14:solidFill>
              <w14:srgbClr w14:val="212529"/>
            </w14:solidFill>
          </w14:textFill>
        </w:rPr>
        <w:t>.</w:t>
      </w:r>
    </w:p>
    <w:p>
      <w:pPr>
        <w:pStyle w:val="Default"/>
        <w:bidi w:val="1"/>
        <w:spacing w:before="0" w:after="300" w:line="360" w:lineRule="auto"/>
        <w:ind w:left="0" w:right="0" w:firstLine="0"/>
        <w:jc w:val="left"/>
        <w:rPr>
          <w:rFonts w:ascii="Arial" w:cs="Arial" w:hAnsi="Arial" w:eastAsia="Arial"/>
          <w:outline w:val="0"/>
          <w:color w:val="202528"/>
          <w:sz w:val="32"/>
          <w:szCs w:val="32"/>
          <w:rtl w:val="1"/>
          <w14:textFill>
            <w14:solidFill>
              <w14:srgbClr w14:val="212529"/>
            </w14:solidFill>
          </w14:textFill>
        </w:rPr>
      </w:pPr>
      <w:r>
        <w:rPr>
          <w:rFonts w:ascii="Arial Unicode MS" w:cs="Arial" w:hAnsi="Arial Unicode MS" w:eastAsia="Arial Unicode MS" w:hint="cs"/>
          <w:outline w:val="0"/>
          <w:color w:val="202528"/>
          <w:sz w:val="32"/>
          <w:szCs w:val="32"/>
          <w:rtl w:val="1"/>
          <w:lang w:val="ar-SA" w:bidi="ar-SA"/>
          <w14:textFill>
            <w14:solidFill>
              <w14:srgbClr w14:val="212529"/>
            </w14:solidFill>
          </w14:textFill>
        </w:rPr>
        <w:t>إلا أن هذا الاتجاه به نسبة من المخاطرة متعلقة بنسبة الفائدة، فكلما انخفضت نسبة الفائدة، كلما توجهت مدخرات الافراد لتمويل اقتراض الحكومة، وهو ما يعني خفض القوة والقدرة الشرائية لدى الأفراد والتي تعتمد بشكل اساسي على المدخرات، ولكن رفع قيمة الفائدة على الاقتراض، قد يؤدي الى سحب رؤوس الاموال من سوق الاستثمار وتوجيهها الى تمويل اقراض الدولة، وهو ما يؤدي الى نتيجة عكسية وخفض في الناتج المحلي وتقليل للاستثمار</w:t>
      </w:r>
      <w:r>
        <w:rPr>
          <w:rFonts w:ascii="Arial" w:hAnsi="Arial"/>
          <w:outline w:val="0"/>
          <w:color w:val="202528"/>
          <w:sz w:val="32"/>
          <w:szCs w:val="32"/>
          <w:rtl w:val="1"/>
          <w:lang w:val="ar-SA" w:bidi="ar-SA"/>
          <w14:textFill>
            <w14:solidFill>
              <w14:srgbClr w14:val="212529"/>
            </w14:solidFill>
          </w14:textFill>
        </w:rPr>
        <w:t>.</w:t>
      </w:r>
    </w:p>
    <w:p>
      <w:pPr>
        <w:pStyle w:val="Default"/>
        <w:bidi w:val="1"/>
        <w:spacing w:before="0" w:after="300" w:line="360" w:lineRule="auto"/>
        <w:ind w:left="0" w:right="0" w:firstLine="0"/>
        <w:jc w:val="left"/>
        <w:rPr>
          <w:rFonts w:ascii="Arial" w:cs="Arial" w:hAnsi="Arial" w:eastAsia="Arial"/>
          <w:outline w:val="0"/>
          <w:color w:val="202528"/>
          <w:sz w:val="32"/>
          <w:szCs w:val="32"/>
          <w:rtl w:val="1"/>
          <w14:textFill>
            <w14:solidFill>
              <w14:srgbClr w14:val="212529"/>
            </w14:solidFill>
          </w14:textFill>
        </w:rPr>
      </w:pPr>
      <w:r>
        <w:rPr>
          <w:rFonts w:ascii="Arial Unicode MS" w:cs="Arial" w:hAnsi="Arial Unicode MS" w:eastAsia="Arial Unicode MS" w:hint="cs"/>
          <w:outline w:val="0"/>
          <w:color w:val="202528"/>
          <w:sz w:val="32"/>
          <w:szCs w:val="32"/>
          <w:rtl w:val="1"/>
          <w:lang w:val="ar-SA" w:bidi="ar-SA"/>
          <w14:textFill>
            <w14:solidFill>
              <w14:srgbClr w14:val="212529"/>
            </w14:solidFill>
          </w14:textFill>
        </w:rPr>
        <w:t>وبشكل عكسي فإن توجه الحكومة نحو الاقتراض الخارجي، يعمل على زيادة العملة الاجنبية وتحسين سعر صرف العملة الوطنية، وزيادة القدرة الانتاجية وتمويل المشروعات ورفع القدرة الشرائية للأفراد، وهو ما يؤدي الى انعاش حركة البيع والشراء والقضاء على الكساد</w:t>
      </w:r>
      <w:r>
        <w:rPr>
          <w:rFonts w:ascii="Arial" w:hAnsi="Arial"/>
          <w:outline w:val="0"/>
          <w:color w:val="202528"/>
          <w:sz w:val="32"/>
          <w:szCs w:val="32"/>
          <w:rtl w:val="1"/>
          <w:lang w:val="ar-SA" w:bidi="ar-SA"/>
          <w14:textFill>
            <w14:solidFill>
              <w14:srgbClr w14:val="212529"/>
            </w14:solidFill>
          </w14:textFill>
        </w:rPr>
        <w:t>.</w:t>
      </w:r>
    </w:p>
    <w:p>
      <w:pPr>
        <w:pStyle w:val="Default"/>
        <w:bidi w:val="1"/>
        <w:spacing w:before="0" w:after="300" w:line="360" w:lineRule="auto"/>
        <w:ind w:left="0" w:right="0" w:firstLine="0"/>
        <w:jc w:val="left"/>
        <w:rPr>
          <w:rFonts w:ascii="Arial" w:cs="Arial" w:hAnsi="Arial" w:eastAsia="Arial"/>
          <w:outline w:val="0"/>
          <w:color w:val="202528"/>
          <w:sz w:val="32"/>
          <w:szCs w:val="32"/>
          <w:rtl w:val="1"/>
          <w14:textFill>
            <w14:solidFill>
              <w14:srgbClr w14:val="212529"/>
            </w14:solidFill>
          </w14:textFill>
        </w:rPr>
      </w:pPr>
      <w:r>
        <w:rPr>
          <w:rFonts w:ascii="Arial Unicode MS" w:cs="Arial" w:hAnsi="Arial Unicode MS" w:eastAsia="Arial Unicode MS" w:hint="cs"/>
          <w:outline w:val="0"/>
          <w:color w:val="202528"/>
          <w:sz w:val="32"/>
          <w:szCs w:val="32"/>
          <w:rtl w:val="1"/>
          <w:lang w:val="ar-SA" w:bidi="ar-SA"/>
          <w14:textFill>
            <w14:solidFill>
              <w14:srgbClr w14:val="212529"/>
            </w14:solidFill>
          </w14:textFill>
        </w:rPr>
        <w:t>الخلاصة</w:t>
      </w:r>
      <w:r>
        <w:rPr>
          <w:rFonts w:ascii="Arial" w:hAnsi="Arial"/>
          <w:outline w:val="0"/>
          <w:color w:val="202528"/>
          <w:sz w:val="32"/>
          <w:szCs w:val="32"/>
          <w:rtl w:val="1"/>
          <w:lang w:val="ar-SA" w:bidi="ar-SA"/>
          <w14:textFill>
            <w14:solidFill>
              <w14:srgbClr w14:val="212529"/>
            </w14:solidFill>
          </w14:textFill>
        </w:rPr>
        <w:t xml:space="preserve">: </w:t>
      </w:r>
    </w:p>
    <w:p>
      <w:pPr>
        <w:pStyle w:val="Default"/>
        <w:bidi w:val="1"/>
        <w:spacing w:before="0" w:after="300" w:line="360" w:lineRule="auto"/>
        <w:ind w:left="0" w:right="0" w:firstLine="0"/>
        <w:jc w:val="left"/>
        <w:rPr>
          <w:rtl w:val="1"/>
        </w:rPr>
      </w:pPr>
      <w:r>
        <w:rPr>
          <w:rFonts w:ascii="Arial Unicode MS" w:cs="Arial" w:hAnsi="Arial Unicode MS" w:eastAsia="Arial Unicode MS" w:hint="cs"/>
          <w:outline w:val="0"/>
          <w:color w:val="202528"/>
          <w:sz w:val="32"/>
          <w:szCs w:val="32"/>
          <w:rtl w:val="1"/>
          <w:lang w:val="ar-SA" w:bidi="ar-SA"/>
          <w14:textFill>
            <w14:solidFill>
              <w14:srgbClr w14:val="212529"/>
            </w14:solidFill>
          </w14:textFill>
        </w:rPr>
        <w:t>أدوات السياسة المالية المختلفة يمكنها أن تؤثر بشكل بالغ ايجابا وسلبا في الحالة الاقتصادية، ومدى قدرة الدولة على ضبط ادارة أدوات السياسة المالية من خلال الموازنة العامة، وتوافق أدوات السياسة المالية مع السياسة النقدية هو الخط الفاصل بين الاستقرار الاقتصادي وبين الاضطراب الانهيار الاقتصادي في أي دولة</w:t>
      </w:r>
      <w:r>
        <w:rPr>
          <w:rFonts w:ascii="Arial" w:hAnsi="Arial"/>
          <w:outline w:val="0"/>
          <w:color w:val="202528"/>
          <w:sz w:val="32"/>
          <w:szCs w:val="32"/>
          <w:rtl w:val="1"/>
          <w:lang w:val="ar-SA" w:bidi="ar-SA"/>
          <w14:textFill>
            <w14:solidFill>
              <w14:srgbClr w14:val="212529"/>
            </w14:solidFill>
          </w14:textFill>
        </w:rPr>
        <w:t>.</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شَرطة"/>
  </w:abstractNum>
  <w:abstractNum w:abstractNumId="1">
    <w:multiLevelType w:val="hybridMultilevel"/>
    <w:styleLink w:val="شَرطة"/>
    <w:lvl w:ilvl="0">
      <w:start w:val="1"/>
      <w:numFmt w:val="bullet"/>
      <w:suff w:val="tab"/>
      <w:lvlText w:val="-"/>
      <w:lvlJc w:val="left"/>
      <w:pPr>
        <w:ind w:left="436" w:hanging="43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1">
      <w:start w:val="1"/>
      <w:numFmt w:val="bullet"/>
      <w:suff w:val="tab"/>
      <w:lvlText w:val="-"/>
      <w:lvlJc w:val="left"/>
      <w:pPr>
        <w:ind w:left="676" w:hanging="43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2">
      <w:start w:val="1"/>
      <w:numFmt w:val="bullet"/>
      <w:suff w:val="tab"/>
      <w:lvlText w:val="-"/>
      <w:lvlJc w:val="left"/>
      <w:pPr>
        <w:ind w:left="916" w:hanging="43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3">
      <w:start w:val="1"/>
      <w:numFmt w:val="bullet"/>
      <w:suff w:val="tab"/>
      <w:lvlText w:val="-"/>
      <w:lvlJc w:val="left"/>
      <w:pPr>
        <w:ind w:left="1156" w:hanging="43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4">
      <w:start w:val="1"/>
      <w:numFmt w:val="bullet"/>
      <w:suff w:val="tab"/>
      <w:lvlText w:val="-"/>
      <w:lvlJc w:val="left"/>
      <w:pPr>
        <w:ind w:left="1396" w:hanging="43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5">
      <w:start w:val="1"/>
      <w:numFmt w:val="bullet"/>
      <w:suff w:val="tab"/>
      <w:lvlText w:val="-"/>
      <w:lvlJc w:val="left"/>
      <w:pPr>
        <w:ind w:left="1636" w:hanging="43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6">
      <w:start w:val="1"/>
      <w:numFmt w:val="bullet"/>
      <w:suff w:val="tab"/>
      <w:lvlText w:val="-"/>
      <w:lvlJc w:val="left"/>
      <w:pPr>
        <w:ind w:left="1876" w:hanging="43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7">
      <w:start w:val="1"/>
      <w:numFmt w:val="bullet"/>
      <w:suff w:val="tab"/>
      <w:lvlText w:val="-"/>
      <w:lvlJc w:val="left"/>
      <w:pPr>
        <w:ind w:left="2116" w:hanging="43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8">
      <w:start w:val="1"/>
      <w:numFmt w:val="bullet"/>
      <w:suff w:val="tab"/>
      <w:lvlText w:val="-"/>
      <w:lvlJc w:val="left"/>
      <w:pPr>
        <w:ind w:left="2356" w:hanging="43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48"/>
        <w:szCs w:val="48"/>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Arial Unicode MS" w:cs="Helvetica Neue" w:hAnsi="Arial Unicode MS" w:eastAsia="Arial Unicode MS" w:hint="c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ar-SA" w:bidi="ar-SA"/>
      <w14:textOutline>
        <w14:noFill/>
      </w14:textOutline>
      <w14:textFill>
        <w14:solidFill>
          <w14:srgbClr w14:val="000000"/>
        </w14:solidFill>
      </w14:textFill>
    </w:rPr>
  </w:style>
  <w:style w:type="numbering" w:styleId="شَرطة">
    <w:name w:val="شَرطة"/>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