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71E" w14:textId="2190BF81" w:rsidR="0042639E" w:rsidRDefault="00FC0147" w:rsidP="00387BC1">
      <w:pPr>
        <w:pStyle w:val="Ttulo"/>
      </w:pPr>
      <w:r w:rsidRPr="00FC0147">
        <w:t>APLICAÇÃO DE TÉCNICAS DE APRENDIZADO DE MÁQUINA PARA A IDENTIFICAÇÃO DE ANORMALIDADES EM ELETROCARDIOGRAMAS</w:t>
      </w:r>
    </w:p>
    <w:p w14:paraId="35DFF352" w14:textId="7FD69F11" w:rsidR="00800C39" w:rsidRDefault="00C34880" w:rsidP="00FF028D">
      <w:pPr>
        <w:spacing w:after="0"/>
        <w:ind w:firstLine="0"/>
        <w:jc w:val="center"/>
        <w:rPr>
          <w:lang w:eastAsia="x-none"/>
        </w:rPr>
      </w:pPr>
      <w:r>
        <w:rPr>
          <w:lang w:eastAsia="x-none"/>
        </w:rPr>
        <w:t>Moacyr Francischetti Corrêa</w:t>
      </w:r>
    </w:p>
    <w:p w14:paraId="6B866C46" w14:textId="5086B04D" w:rsidR="00800C39" w:rsidRDefault="00C34880" w:rsidP="00FF028D">
      <w:pPr>
        <w:spacing w:after="0"/>
        <w:ind w:firstLine="0"/>
        <w:jc w:val="center"/>
        <w:rPr>
          <w:lang w:eastAsia="x-none"/>
        </w:rPr>
      </w:pPr>
      <w:r>
        <w:rPr>
          <w:lang w:eastAsia="x-none"/>
        </w:rPr>
        <w:t>Unimar – Universidade de Marília</w:t>
      </w:r>
    </w:p>
    <w:p w14:paraId="693C0271" w14:textId="625CEA2E" w:rsidR="0042639E" w:rsidRPr="00387BC1" w:rsidRDefault="00000000" w:rsidP="00387BC1">
      <w:pPr>
        <w:spacing w:after="0"/>
        <w:ind w:firstLine="0"/>
        <w:jc w:val="center"/>
        <w:rPr>
          <w:b/>
          <w:lang w:eastAsia="x-none"/>
        </w:rPr>
      </w:pPr>
      <w:hyperlink r:id="rId7">
        <w:r w:rsidR="00C34880">
          <w:rPr>
            <w:rStyle w:val="InternetLink"/>
            <w:color w:val="000000"/>
            <w:u w:val="none"/>
            <w:lang w:eastAsia="x-none"/>
          </w:rPr>
          <w:t>moacyr@spacnet.com.br</w:t>
        </w:r>
      </w:hyperlink>
    </w:p>
    <w:p w14:paraId="40F2733A" w14:textId="65B1FC32" w:rsidR="00FC0147" w:rsidRPr="00E835B4" w:rsidRDefault="00E835B4" w:rsidP="00E835B4">
      <w:pPr>
        <w:pStyle w:val="Ttulo1"/>
      </w:pPr>
      <w:r w:rsidRPr="00E835B4">
        <w:t>RESUMO</w:t>
      </w:r>
    </w:p>
    <w:p w14:paraId="303B5B5A" w14:textId="77777777" w:rsidR="00FC0147" w:rsidRDefault="00FC0147" w:rsidP="003B4E53">
      <w:r>
        <w:t>Este estudo compara o desempenho de quatro algoritmos de aprendizado de máquina na classificação de batidas cardíacas em exames de eletrocardiograma. Os algoritmos avaliados são: Árvore de Decisão, Máquinas de Vetores de Suporte (SVM),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 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. Os dados utilizados são do MIT-BIH </w:t>
      </w:r>
      <w:proofErr w:type="spellStart"/>
      <w:r>
        <w:t>Arrhythmia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29C52CE0" w14:textId="0CAAEB7D" w:rsidR="002F3F42" w:rsidRDefault="002F3F42" w:rsidP="002F3F42">
      <w:pPr>
        <w:spacing w:after="0"/>
        <w:ind w:firstLine="0"/>
      </w:pPr>
      <w:r>
        <w:rPr>
          <w:b/>
          <w:lang w:eastAsia="x-none"/>
        </w:rPr>
        <w:t>Palavras-Chave</w:t>
      </w:r>
      <w:r>
        <w:rPr>
          <w:lang w:eastAsia="x-none"/>
        </w:rPr>
        <w:t xml:space="preserve">: </w:t>
      </w:r>
      <w:r>
        <w:t xml:space="preserve">Aprendizado de Máquina, </w:t>
      </w:r>
      <w:r>
        <w:t xml:space="preserve">Classificadores, Árvore de decisão, </w:t>
      </w:r>
      <w:r>
        <w:t>Máquinas de Vetores de Suporte</w:t>
      </w:r>
      <w:r>
        <w:t>,</w:t>
      </w:r>
      <w:r>
        <w:t xml:space="preserve"> SVM,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,</w:t>
      </w:r>
      <w:r>
        <w:t xml:space="preserve"> KNN</w:t>
      </w:r>
      <w:r>
        <w:t>,</w:t>
      </w:r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. MIT-BIH </w:t>
      </w:r>
      <w:proofErr w:type="spellStart"/>
      <w:r>
        <w:t>Arrhythmia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02C5905" w14:textId="77777777" w:rsidR="00FC0147" w:rsidRDefault="00FC0147" w:rsidP="003B4E53">
      <w:pPr>
        <w:pStyle w:val="Ttulo1"/>
      </w:pPr>
      <w:r w:rsidRPr="003B4E53">
        <w:t>Introdução</w:t>
      </w:r>
    </w:p>
    <w:p w14:paraId="70600009" w14:textId="2D3299EE" w:rsidR="00FC0147" w:rsidRDefault="00FC0147" w:rsidP="003B4E53">
      <w:r>
        <w:t xml:space="preserve">A análise de eletrocardiogramas (ECG) é uma ferramenta essencial na medicina moderna, permitindo a detecção de uma ampla gama de anormalidades cardíacas. A classificação automática das batidas cardíacas pode auxiliar na identificação de condições cardíacas potencialmente perigosas, permitindo intervenções médicas mais rápidas e eficazes. </w:t>
      </w:r>
      <w:r w:rsidRPr="00E835B4">
        <w:t>Neste estudo, exploramos a aplicação de várias técnicas de aprendizado de máquina para classificar batidas cardíacas em exames de ECG</w:t>
      </w:r>
      <w:r>
        <w:t>.</w:t>
      </w:r>
    </w:p>
    <w:p w14:paraId="2DEE56C7" w14:textId="77777777" w:rsidR="00FC0147" w:rsidRDefault="00FC0147" w:rsidP="003B4E53">
      <w:r>
        <w:t>As batidas são classificadas em cinco categorias:</w:t>
      </w:r>
    </w:p>
    <w:p w14:paraId="2B83CD5C" w14:textId="5AFCEB29" w:rsidR="00FC0147" w:rsidRDefault="00FC0147" w:rsidP="003A78E8">
      <w:pPr>
        <w:pStyle w:val="PargrafodaLista"/>
        <w:numPr>
          <w:ilvl w:val="0"/>
          <w:numId w:val="4"/>
        </w:numPr>
        <w:ind w:left="357" w:hanging="357"/>
      </w:pPr>
      <w:r>
        <w:rPr>
          <w:rStyle w:val="Forte"/>
        </w:rPr>
        <w:t>Batidas normais</w:t>
      </w:r>
      <w:r>
        <w:t xml:space="preserve">: Estas são batidas cardíacas que seguem o padrão normal e regular do coração. </w:t>
      </w:r>
      <w:r w:rsidRPr="001A1506">
        <w:t>São o tipo mais comum de batidas e não indicam nenhuma condição médica adversa</w:t>
      </w:r>
      <w:r>
        <w:t>.</w:t>
      </w:r>
    </w:p>
    <w:p w14:paraId="7A6A1DAE" w14:textId="7B377DDB" w:rsidR="00FC0147" w:rsidRDefault="00FC0147" w:rsidP="003A78E8">
      <w:pPr>
        <w:pStyle w:val="PargrafodaLista"/>
        <w:numPr>
          <w:ilvl w:val="0"/>
          <w:numId w:val="4"/>
        </w:numPr>
        <w:ind w:left="357" w:hanging="357"/>
      </w:pPr>
      <w:r>
        <w:rPr>
          <w:rStyle w:val="Forte"/>
        </w:rPr>
        <w:t>Batidas de Ectopia Supraventricular</w:t>
      </w:r>
      <w:r>
        <w:t xml:space="preserve">: As batidas de Ectopia Supraventricular são batidas extras que se originam nas câmaras superiores do coração, conhecidas como átrios. Elas podem ocorrer isoladamente ou em padrões irregulares. </w:t>
      </w:r>
      <w:r w:rsidRPr="001A1506">
        <w:t>Embora geralmente sejam inofensivas, as batidas de Ectopia Supraventricular podem ser desconfortáveis e causar sintomas como palpitações</w:t>
      </w:r>
      <w:r>
        <w:t>.</w:t>
      </w:r>
    </w:p>
    <w:p w14:paraId="5401A58E" w14:textId="284BB3A5" w:rsidR="00FC0147" w:rsidRDefault="00FC0147" w:rsidP="003A78E8">
      <w:pPr>
        <w:pStyle w:val="PargrafodaLista"/>
        <w:numPr>
          <w:ilvl w:val="0"/>
          <w:numId w:val="4"/>
        </w:numPr>
        <w:ind w:left="357" w:hanging="357"/>
      </w:pPr>
      <w:r>
        <w:rPr>
          <w:rStyle w:val="Forte"/>
        </w:rPr>
        <w:t>Batidas de Ectopia Ventricular</w:t>
      </w:r>
      <w:r>
        <w:t xml:space="preserve">: As batidas de Ectopia Ventricular são batidas extras que se originam nas câmaras inferiores do coração, conhecidas como ventrículos. </w:t>
      </w:r>
      <w:r w:rsidRPr="001A1506">
        <w:t>Elas podem ocorrer ocasionalmente em pessoas saudáveis, mas também podem ser um sinal de doença cardíaca ou danos no coração</w:t>
      </w:r>
      <w:r>
        <w:t>.</w:t>
      </w:r>
    </w:p>
    <w:p w14:paraId="5E39107A" w14:textId="28F6933E" w:rsidR="00FC0147" w:rsidRDefault="00FC0147" w:rsidP="003A78E8">
      <w:pPr>
        <w:pStyle w:val="PargrafodaLista"/>
        <w:numPr>
          <w:ilvl w:val="0"/>
          <w:numId w:val="4"/>
        </w:numPr>
        <w:ind w:left="357" w:hanging="357"/>
      </w:pPr>
      <w:r>
        <w:rPr>
          <w:rStyle w:val="Forte"/>
        </w:rPr>
        <w:t>Batidas de fusão</w:t>
      </w:r>
      <w:r>
        <w:t xml:space="preserve">: As batidas de fusão ocorrem quando uma batida normal e uma batida ectópica (extra) se fundem para formar uma única batida. </w:t>
      </w:r>
      <w:r w:rsidRPr="001A1506">
        <w:t>Elas são geralmente raras e podem ser causadas por condições como a doença arterial coronariana</w:t>
      </w:r>
      <w:r>
        <w:t>.</w:t>
      </w:r>
    </w:p>
    <w:p w14:paraId="4E39F4A2" w14:textId="7C9DA1F9" w:rsidR="00FC0147" w:rsidRDefault="00FC0147" w:rsidP="003A78E8">
      <w:pPr>
        <w:pStyle w:val="PargrafodaLista"/>
        <w:numPr>
          <w:ilvl w:val="0"/>
          <w:numId w:val="4"/>
        </w:numPr>
        <w:ind w:left="357" w:hanging="357"/>
      </w:pPr>
      <w:r>
        <w:rPr>
          <w:rStyle w:val="Forte"/>
        </w:rPr>
        <w:t>Batidas Inclassificáveis</w:t>
      </w:r>
      <w:r>
        <w:t xml:space="preserve">: Estas são batidas que não se encaixam claramente em nenhuma das categorias acima. </w:t>
      </w:r>
      <w:r w:rsidRPr="001A1506">
        <w:t>Elas podem ser o resultado de artefatos no ECG, ruído ou outras irregularidades que tornam difícil a classificação</w:t>
      </w:r>
      <w:r>
        <w:t>.</w:t>
      </w:r>
    </w:p>
    <w:p w14:paraId="206ABC4D" w14:textId="77777777" w:rsidR="00FC0147" w:rsidRDefault="00FC0147" w:rsidP="003B4E53">
      <w:r>
        <w:t>Foi necessário realizar a normalização dos dados, pois a quantidade de “batidas normais” é muito maior que as outras classes, o que poderia levar a um viés indesejado.</w:t>
      </w:r>
    </w:p>
    <w:p w14:paraId="39C69A75" w14:textId="77777777" w:rsidR="00FC0147" w:rsidRDefault="00FC0147" w:rsidP="007748ED">
      <w:pPr>
        <w:pStyle w:val="Ttulo1"/>
      </w:pPr>
      <w:r>
        <w:lastRenderedPageBreak/>
        <w:t>Metodologia</w:t>
      </w:r>
    </w:p>
    <w:p w14:paraId="13205518" w14:textId="00FFAF8A" w:rsidR="00FC0147" w:rsidRDefault="00FC0147" w:rsidP="003A78E8">
      <w:r>
        <w:t xml:space="preserve">Os dados utilizados neste estudo são do MIT-BIH </w:t>
      </w:r>
      <w:proofErr w:type="spellStart"/>
      <w:r>
        <w:t>Arrhythmia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um recurso amplamente utilizado na pesquisa de arritmias cardíacas. </w:t>
      </w:r>
      <w:r w:rsidRPr="007748ED">
        <w:t>Este banco de dados contém 48 trechos de meia hora de gravações ambulatoriais de ECG de dois canais, obtidos de 47 indivíduos estudados pelo Laboratório de Arritmia BIH entre 1975 e 1979</w:t>
      </w:r>
      <w:r>
        <w:t>.</w:t>
      </w:r>
    </w:p>
    <w:p w14:paraId="5A6D4459" w14:textId="30297BB6" w:rsidR="00FC0147" w:rsidRDefault="00FC0147" w:rsidP="003A78E8">
      <w:r w:rsidRPr="007748ED">
        <w:t>Os algoritmos foram avaliados com base em várias métricas</w:t>
      </w:r>
      <w:r>
        <w:t>:</w:t>
      </w:r>
    </w:p>
    <w:p w14:paraId="2CE3E0E0" w14:textId="07A21C07" w:rsidR="00FC0147" w:rsidRDefault="00FC0147" w:rsidP="003A78E8">
      <w:pPr>
        <w:pStyle w:val="PargrafodaLista"/>
        <w:numPr>
          <w:ilvl w:val="0"/>
          <w:numId w:val="5"/>
        </w:numPr>
        <w:ind w:left="357" w:hanging="357"/>
      </w:pPr>
      <w:r>
        <w:rPr>
          <w:rStyle w:val="Forte"/>
        </w:rPr>
        <w:t>Acurácia</w:t>
      </w:r>
      <w:r>
        <w:t xml:space="preserve">: Esta é a proporção de previsões corretas feitas pelo modelo em relação ao total de previsões. </w:t>
      </w:r>
      <w:r w:rsidRPr="007748ED">
        <w:t>É uma medida útil quando as classes são bem balanceadas</w:t>
      </w:r>
      <w:r>
        <w:t>.</w:t>
      </w:r>
    </w:p>
    <w:p w14:paraId="3D36C359" w14:textId="3F0AA300" w:rsidR="00FC0147" w:rsidRDefault="00FC0147" w:rsidP="003A78E8">
      <w:pPr>
        <w:pStyle w:val="PargrafodaLista"/>
        <w:numPr>
          <w:ilvl w:val="0"/>
          <w:numId w:val="5"/>
        </w:numPr>
        <w:ind w:left="357" w:hanging="357"/>
      </w:pPr>
      <w:r>
        <w:rPr>
          <w:rStyle w:val="Forte"/>
        </w:rPr>
        <w:t>Precisão</w:t>
      </w:r>
      <w:r>
        <w:t xml:space="preserve">: Esta é a proporção de previsões positivas que foram corretas. </w:t>
      </w:r>
      <w:r w:rsidRPr="007748ED">
        <w:t>É uma medida útil quando o custo de Falso Positivo é alto</w:t>
      </w:r>
      <w:r>
        <w:t>.</w:t>
      </w:r>
    </w:p>
    <w:p w14:paraId="78F0FC3A" w14:textId="6318AE71" w:rsidR="00FC0147" w:rsidRDefault="00FC0147" w:rsidP="003A78E8">
      <w:pPr>
        <w:pStyle w:val="PargrafodaLista"/>
        <w:numPr>
          <w:ilvl w:val="0"/>
          <w:numId w:val="5"/>
        </w:numPr>
        <w:ind w:left="357" w:hanging="357"/>
      </w:pPr>
      <w:r>
        <w:rPr>
          <w:rStyle w:val="Forte"/>
        </w:rPr>
        <w:t>Recall</w:t>
      </w:r>
      <w:r>
        <w:t xml:space="preserve">: Esta é a proporção de observações positivas reais que foram corretamente previstas. </w:t>
      </w:r>
      <w:r w:rsidRPr="007748ED">
        <w:t>É uma medida útil quando o custo de Falso Negativo é alto</w:t>
      </w:r>
      <w:r>
        <w:t>.</w:t>
      </w:r>
    </w:p>
    <w:p w14:paraId="45350703" w14:textId="64359F8C" w:rsidR="0042639E" w:rsidRPr="00DD1767" w:rsidRDefault="00FC0147" w:rsidP="003A78E8">
      <w:pPr>
        <w:pStyle w:val="PargrafodaLista"/>
        <w:numPr>
          <w:ilvl w:val="0"/>
          <w:numId w:val="5"/>
        </w:numPr>
        <w:ind w:left="357" w:hanging="357"/>
      </w:pPr>
      <w:r w:rsidRPr="007748ED">
        <w:rPr>
          <w:rStyle w:val="Forte"/>
        </w:rPr>
        <w:t>f1-Score</w:t>
      </w:r>
      <w:r w:rsidRPr="007748ED">
        <w:t>: Esta é a média harmônica de Precisão e Recall e tenta encontrar o equilíbrio entre essas duas métricas</w:t>
      </w:r>
      <w:r>
        <w:t>.</w:t>
      </w:r>
    </w:p>
    <w:p w14:paraId="79FBB93D" w14:textId="2D663611" w:rsidR="00FC0147" w:rsidRDefault="00FC0147" w:rsidP="00DD7D02">
      <w:pPr>
        <w:pStyle w:val="Ttulo1"/>
      </w:pPr>
      <w:r>
        <w:t>Resultados</w:t>
      </w:r>
    </w:p>
    <w:p w14:paraId="61F736E5" w14:textId="10B8B17E" w:rsidR="00FD04CF" w:rsidRDefault="00FC0147" w:rsidP="0042639E">
      <w:pPr>
        <w:pStyle w:val="NormalWeb"/>
      </w:pPr>
      <w:r>
        <w:t>Os resultados obtidos pelos quatro algoritmos são apresentados na tabela abaixo:</w:t>
      </w:r>
    </w:p>
    <w:tbl>
      <w:tblPr>
        <w:tblW w:w="485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"/>
        <w:gridCol w:w="1363"/>
        <w:gridCol w:w="1018"/>
        <w:gridCol w:w="962"/>
        <w:gridCol w:w="890"/>
        <w:gridCol w:w="951"/>
        <w:gridCol w:w="640"/>
        <w:gridCol w:w="640"/>
        <w:gridCol w:w="640"/>
        <w:gridCol w:w="640"/>
        <w:gridCol w:w="404"/>
        <w:gridCol w:w="236"/>
        <w:gridCol w:w="193"/>
      </w:tblGrid>
      <w:tr w:rsidR="003B4E53" w:rsidRPr="00487DFC" w14:paraId="24CFF31F" w14:textId="77777777" w:rsidTr="00D91D9E">
        <w:trPr>
          <w:trHeight w:val="100"/>
          <w:jc w:val="center"/>
        </w:trPr>
        <w:tc>
          <w:tcPr>
            <w:tcW w:w="193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2ECF76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98828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49396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2BFA36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9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2AC2A2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799298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9D7F0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E02A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18B32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9DF45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B3ED0C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0B99C2B9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1A60" w:rsidRPr="00487DFC" w14:paraId="43864E6A" w14:textId="77777777" w:rsidTr="00D91D9E">
        <w:trPr>
          <w:trHeight w:val="280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EC3C7" w14:textId="77777777" w:rsidR="00BE1A60" w:rsidRPr="00487DFC" w:rsidRDefault="00BE1A60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998920" w14:textId="77777777" w:rsidR="00BE1A60" w:rsidRPr="00487DFC" w:rsidRDefault="00BE1A60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Classificador</w:t>
            </w:r>
          </w:p>
        </w:tc>
        <w:tc>
          <w:tcPr>
            <w:tcW w:w="101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42E76AD" w14:textId="77777777" w:rsidR="00BE1A60" w:rsidRPr="00487DFC" w:rsidRDefault="00BE1A60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Acurácia</w:t>
            </w:r>
          </w:p>
        </w:tc>
        <w:tc>
          <w:tcPr>
            <w:tcW w:w="96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58BB3D3" w14:textId="77777777" w:rsidR="00BE1A60" w:rsidRPr="00487DFC" w:rsidRDefault="00BE1A60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Precisão</w:t>
            </w:r>
          </w:p>
        </w:tc>
        <w:tc>
          <w:tcPr>
            <w:tcW w:w="89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B7E6B8F" w14:textId="77777777" w:rsidR="00BE1A60" w:rsidRPr="00487DFC" w:rsidRDefault="00BE1A60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Recall</w:t>
            </w:r>
          </w:p>
        </w:tc>
        <w:tc>
          <w:tcPr>
            <w:tcW w:w="95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BF138D8" w14:textId="77777777" w:rsidR="00BE1A60" w:rsidRPr="00487DFC" w:rsidRDefault="00BE1A60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f1-Score</w:t>
            </w:r>
          </w:p>
        </w:tc>
        <w:tc>
          <w:tcPr>
            <w:tcW w:w="3200" w:type="dxa"/>
            <w:gridSpan w:val="6"/>
            <w:vMerge w:val="restart"/>
            <w:tcBorders>
              <w:top w:val="single" w:sz="4" w:space="0" w:color="BFBFBF"/>
              <w:left w:val="nil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01EA5E4" w14:textId="77777777" w:rsidR="00BE1A60" w:rsidRPr="00487DFC" w:rsidRDefault="00BE1A60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Matriz de Confusão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2CED320" w14:textId="77777777" w:rsidR="00BE1A60" w:rsidRPr="00487DFC" w:rsidRDefault="00BE1A60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E1A60" w:rsidRPr="00487DFC" w14:paraId="6F747053" w14:textId="77777777" w:rsidTr="00D91D9E">
        <w:trPr>
          <w:trHeight w:val="60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B0DEE" w14:textId="77777777" w:rsidR="00BE1A60" w:rsidRPr="00487DFC" w:rsidRDefault="00BE1A60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D219A3" w14:textId="77777777" w:rsidR="00BE1A60" w:rsidRPr="00487DFC" w:rsidRDefault="00BE1A60" w:rsidP="0094772A">
            <w:pPr>
              <w:spacing w:after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82E4234" w14:textId="77777777" w:rsidR="00BE1A60" w:rsidRPr="00487DFC" w:rsidRDefault="00BE1A60" w:rsidP="0094772A">
            <w:pPr>
              <w:spacing w:after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1AEA360" w14:textId="77777777" w:rsidR="00BE1A60" w:rsidRPr="00487DFC" w:rsidRDefault="00BE1A60" w:rsidP="0094772A">
            <w:pPr>
              <w:spacing w:after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3BE7597" w14:textId="77777777" w:rsidR="00BE1A60" w:rsidRPr="00487DFC" w:rsidRDefault="00BE1A60" w:rsidP="0094772A">
            <w:pPr>
              <w:spacing w:after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CB1E1EB" w14:textId="77777777" w:rsidR="00BE1A60" w:rsidRPr="00487DFC" w:rsidRDefault="00BE1A60" w:rsidP="0094772A">
            <w:pPr>
              <w:spacing w:after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00" w:type="dxa"/>
            <w:gridSpan w:val="6"/>
            <w:vMerge/>
            <w:tcBorders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F34D9D4" w14:textId="6CDA783D" w:rsidR="00BE1A60" w:rsidRPr="00487DFC" w:rsidRDefault="00BE1A60" w:rsidP="0094772A">
            <w:pPr>
              <w:spacing w:after="0"/>
              <w:ind w:firstLine="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79954B3E" w14:textId="77777777" w:rsidR="00BE1A60" w:rsidRPr="00487DFC" w:rsidRDefault="00BE1A60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7ED351C2" w14:textId="77777777" w:rsidTr="00D91D9E">
        <w:trPr>
          <w:trHeight w:val="280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060215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E8AC90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D4FE75D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D6BCD5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BB1C532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DE6DE4B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D9D9D9"/>
            </w:tcBorders>
            <w:shd w:val="clear" w:color="000000" w:fill="FFFFFF"/>
            <w:noWrap/>
            <w:vAlign w:val="center"/>
            <w:hideMark/>
          </w:tcPr>
          <w:p w14:paraId="6CEA8F87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D9D9D9"/>
            </w:tcBorders>
            <w:shd w:val="clear" w:color="000000" w:fill="FFFFFF"/>
            <w:noWrap/>
            <w:vAlign w:val="center"/>
            <w:hideMark/>
          </w:tcPr>
          <w:p w14:paraId="7D91154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D9D9D9"/>
            </w:tcBorders>
            <w:shd w:val="clear" w:color="000000" w:fill="FFFFFF"/>
            <w:noWrap/>
            <w:vAlign w:val="center"/>
            <w:hideMark/>
          </w:tcPr>
          <w:p w14:paraId="41EAC3A0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D9D9D9"/>
            </w:tcBorders>
            <w:shd w:val="clear" w:color="000000" w:fill="FFFFFF"/>
            <w:noWrap/>
            <w:vAlign w:val="center"/>
            <w:hideMark/>
          </w:tcPr>
          <w:p w14:paraId="665FA1D2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CFE72D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BE4AD26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7DFC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154E5AE6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F4803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7E816C2" w14:textId="77777777" w:rsidR="003B4E53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Árvore</w:t>
            </w:r>
          </w:p>
          <w:p w14:paraId="63FECB08" w14:textId="1B3CD5F0" w:rsidR="003B4E53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de</w:t>
            </w:r>
          </w:p>
          <w:p w14:paraId="3DE726FA" w14:textId="43C7D33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Decisão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CF27B9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0,98575</w:t>
            </w:r>
          </w:p>
        </w:tc>
        <w:tc>
          <w:tcPr>
            <w:tcW w:w="962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133DB6C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0,98581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757157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0,98595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D89C56F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0,98565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59682151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3762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0AD31325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5E922970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284C93F7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D54240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C5B4AB8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319A09E6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01EC2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6CDF37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6018E12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4B415B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BB1EAC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3884084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6D1FBD3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75AB3987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4015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44CAD99E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350B59B1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7CA63B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C01F17D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14F080F3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7A8CF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17E42A8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3D014F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0C09A0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7E1B9A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99C6E4C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14034A7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67309261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4D6C776B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3981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552E1817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5F0A7D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D2238F9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2D93A77C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FB19B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89D848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DF1836F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54C1E1B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42BB10D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B33FEE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54C62906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5120ADDC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6DBAB33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2E7A9DE6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3987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10854B3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7A63032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7ACB714E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D182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3E4CE1D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BC3F39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765E05F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A5D6C9D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D1C7D2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08FB25C1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25E42100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3BD2C635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200AA47D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CEAF7"/>
            <w:noWrap/>
            <w:vAlign w:val="center"/>
            <w:hideMark/>
          </w:tcPr>
          <w:p w14:paraId="535522F4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3970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042AD8C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31239298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6B8D1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7AD10F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SVM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70311E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0,91965</w:t>
            </w:r>
          </w:p>
        </w:tc>
        <w:tc>
          <w:tcPr>
            <w:tcW w:w="962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C190286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0,9198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682921E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0,92364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2C4EA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0,92066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20D260FE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3576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41DFC192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4011DAF3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08097F1D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5E1F0C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08DA1350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1071D85B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BA35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5761D72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F5453E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124060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E0757F0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AC56A8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6294A843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505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7C080FC4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3476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5C51D4F4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4A636D21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35E78AE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A48A86B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3D495032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5D978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BF4DC8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BBE3F79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C9609F4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308BF5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1A237F0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7748D444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40042C10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7B1B4949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3660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60D76FCD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E8F61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B35E2C4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7C1B92F8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96639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7727A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A398B1C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C9A8FA9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085FBB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178E7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25C0B74F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117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6D4509E5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0C9978E0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76BEE564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3824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731A21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1EBE0D9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15E567D9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E23ABD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9F44E3C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C6A2B04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000FC6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0E03EAF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5D180B0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7142B3DB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26FAC32F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7D1EA7D4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C197457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CEAF7"/>
            <w:noWrap/>
            <w:vAlign w:val="center"/>
            <w:hideMark/>
          </w:tcPr>
          <w:p w14:paraId="1790FEE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3857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08FC0D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6E85416B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DB9B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B5A58B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KNN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409C635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0,97555</w:t>
            </w:r>
          </w:p>
        </w:tc>
        <w:tc>
          <w:tcPr>
            <w:tcW w:w="962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605D0C5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0,97562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6F69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0,97588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9CF2E0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0,97538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0C26030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3669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294F3C19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5FC15E07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8410F4F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F4F83C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AE3C18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1DADE97D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2BA81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ADC951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B5023D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C7BC772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39F402B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F6DB712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6F14F45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11EEC6C3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4005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04BE4CF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4A9594FE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81AC2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74B6A391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431F8D93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E324F8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0E1FA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4E1102D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366544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6D7B026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B8DA8D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4928CA2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5529DE7E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42497817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3913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790EEE9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E2A315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3B3C880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5DF02C84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70749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32F4EE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8F3473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7FFEB84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FFAD4F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4C8A91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310B114C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0A370D2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692BE474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53E830DF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3987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A7C916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78D9FDF2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189FC780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E8AAA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5E8B02D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ABB757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495CB71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1AA81E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54611D9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2C277BA3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01BEF2D6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576AE52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050A4A93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CEAF7"/>
            <w:noWrap/>
            <w:vAlign w:val="center"/>
            <w:hideMark/>
          </w:tcPr>
          <w:p w14:paraId="76DB982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3937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61691D8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5E7A6023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5371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0EA401" w14:textId="77777777" w:rsidR="003B4E53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487DFC">
              <w:rPr>
                <w:color w:val="000000"/>
                <w:sz w:val="20"/>
                <w:szCs w:val="20"/>
              </w:rPr>
              <w:t>Naive</w:t>
            </w:r>
            <w:proofErr w:type="spellEnd"/>
          </w:p>
          <w:p w14:paraId="770F5308" w14:textId="222D6F2C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487DFC">
              <w:rPr>
                <w:color w:val="000000"/>
                <w:sz w:val="20"/>
                <w:szCs w:val="20"/>
              </w:rPr>
              <w:t>Bayes</w:t>
            </w:r>
            <w:proofErr w:type="spellEnd"/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1F1466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0,4001</w:t>
            </w:r>
          </w:p>
        </w:tc>
        <w:tc>
          <w:tcPr>
            <w:tcW w:w="962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26B7DB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0,40134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8682F9E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0,6013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FF778D2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0,36425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13E2E184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452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01F23489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43D62C5C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263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0A708EEF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B281236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3083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6B4F5B9C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22BE6E50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C71148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AEEC694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5450A49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4A8694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BDBFC65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16E979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ABA6116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7B2B4BAD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551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47031F03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5DC996F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B1A2FB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2829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4EC62676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5A8BC086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9AA6AF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DF98D8D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B80502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3A4ECB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9197A1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16E0093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2418EC0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349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6B23C6A5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56889CAE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779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51EF98E6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C999A7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2795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4187D4D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390C0ED0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5AE72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DE2161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5775A69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ED43C00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F0E74E8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8A7EF3A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0D91632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D95BC44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1464422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640" w:type="dxa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CEAF7"/>
            <w:noWrap/>
            <w:vAlign w:val="center"/>
            <w:hideMark/>
          </w:tcPr>
          <w:p w14:paraId="654B0758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2273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dotted" w:sz="4" w:space="0" w:color="F2F2F2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659CC1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1650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773B4D29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B4E53" w:rsidRPr="00487DFC" w14:paraId="48756611" w14:textId="77777777" w:rsidTr="00D91D9E">
        <w:trPr>
          <w:trHeight w:hRule="exact" w:val="227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A11137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41E21A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2FEDA9E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615A108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6CFB49B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9506C28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7D52302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550EC234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323D23FA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dotted" w:sz="4" w:space="0" w:color="F2F2F2"/>
            </w:tcBorders>
            <w:shd w:val="clear" w:color="000000" w:fill="FFFFFF"/>
            <w:noWrap/>
            <w:vAlign w:val="center"/>
            <w:hideMark/>
          </w:tcPr>
          <w:p w14:paraId="6E99F48D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CEAF7"/>
            <w:noWrap/>
            <w:vAlign w:val="center"/>
            <w:hideMark/>
          </w:tcPr>
          <w:p w14:paraId="2347B10C" w14:textId="77777777" w:rsidR="00D471BB" w:rsidRPr="00487DFC" w:rsidRDefault="00D471BB" w:rsidP="0094772A">
            <w:pPr>
              <w:spacing w:after="0"/>
              <w:ind w:firstLine="0"/>
              <w:jc w:val="center"/>
              <w:rPr>
                <w:color w:val="0000FF"/>
                <w:sz w:val="20"/>
                <w:szCs w:val="20"/>
              </w:rPr>
            </w:pPr>
            <w:r w:rsidRPr="00487DFC">
              <w:rPr>
                <w:color w:val="0000FF"/>
                <w:sz w:val="20"/>
                <w:szCs w:val="20"/>
              </w:rPr>
              <w:t>3947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105FDB86" w14:textId="77777777" w:rsidR="00D471BB" w:rsidRPr="00487DFC" w:rsidRDefault="00D471BB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1A60" w:rsidRPr="00487DFC" w14:paraId="3645272A" w14:textId="77777777" w:rsidTr="00D91D9E">
        <w:trPr>
          <w:trHeight w:val="100"/>
          <w:jc w:val="center"/>
        </w:trPr>
        <w:tc>
          <w:tcPr>
            <w:tcW w:w="193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D97177" w14:textId="77777777" w:rsidR="00BE1A60" w:rsidRPr="00487DFC" w:rsidRDefault="00BE1A60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148" w:type="dxa"/>
            <w:gridSpan w:val="10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CE2A79" w14:textId="5F5228F6" w:rsidR="00BE1A60" w:rsidRPr="00BE1A60" w:rsidRDefault="00BE1A60" w:rsidP="0094772A">
            <w:pPr>
              <w:spacing w:after="0"/>
              <w:ind w:firstLine="0"/>
              <w:jc w:val="left"/>
            </w:pPr>
            <w:r w:rsidRPr="00487DFC">
              <w:rPr>
                <w:color w:val="000000"/>
                <w:sz w:val="18"/>
                <w:szCs w:val="18"/>
              </w:rPr>
              <w:t>0: Batidas normais</w:t>
            </w:r>
            <w:r w:rsidRPr="00487DFC">
              <w:rPr>
                <w:color w:val="000000"/>
                <w:sz w:val="18"/>
                <w:szCs w:val="18"/>
              </w:rPr>
              <w:br/>
              <w:t>1: Batidas de Ectopia Supraventricular</w:t>
            </w:r>
            <w:r w:rsidRPr="00487DFC">
              <w:rPr>
                <w:color w:val="000000"/>
                <w:sz w:val="18"/>
                <w:szCs w:val="18"/>
              </w:rPr>
              <w:br/>
              <w:t>2: Batidas de Ectopia Ventricular</w:t>
            </w:r>
            <w:r w:rsidRPr="00487DFC">
              <w:rPr>
                <w:color w:val="000000"/>
                <w:sz w:val="18"/>
                <w:szCs w:val="18"/>
              </w:rPr>
              <w:br/>
              <w:t>3: Batidas de fusão</w:t>
            </w:r>
            <w:r w:rsidRPr="00487DFC">
              <w:rPr>
                <w:color w:val="000000"/>
                <w:sz w:val="18"/>
                <w:szCs w:val="18"/>
              </w:rPr>
              <w:br/>
              <w:t>4: Batidas Inclassificáveis</w:t>
            </w: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1402E83" w14:textId="5F0F2F78" w:rsidR="00BE1A60" w:rsidRPr="00487DFC" w:rsidRDefault="00BE1A60" w:rsidP="0094772A">
            <w:pPr>
              <w:spacing w:after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87DFC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4B3BB00A" w14:textId="77777777" w:rsidR="0042639E" w:rsidRDefault="0042639E" w:rsidP="0042639E">
      <w:pPr>
        <w:pStyle w:val="Ttulo1"/>
      </w:pPr>
      <w:r w:rsidRPr="00DD7D02">
        <w:lastRenderedPageBreak/>
        <w:t>Conclusões</w:t>
      </w:r>
    </w:p>
    <w:p w14:paraId="529A9E53" w14:textId="79FD027F" w:rsidR="0042639E" w:rsidRDefault="0042639E" w:rsidP="003A78E8">
      <w:r>
        <w:t>Este estudo apresentou uma análise comparativa do desempenho de quatro algoritmos de aprendizado de máquina na classificação de batidas cardíacas em exames de eletrocardiograma. Os resultados mostraram que a Árvore de Decisão e o KNN superaram os outros algoritmos em todas as métricas avaliadas, demonstrando serem métodos eficazes para essa tarefa específica.</w:t>
      </w:r>
    </w:p>
    <w:p w14:paraId="2B898D3C" w14:textId="7A55BB5E" w:rsidR="00FD04CF" w:rsidRDefault="00FD04CF" w:rsidP="003A78E8">
      <w:r>
        <w:t xml:space="preserve">A Árvore de Decisão, com sua estrutura de regras simples e </w:t>
      </w:r>
      <w:proofErr w:type="spellStart"/>
      <w:r>
        <w:t>interpretabilidade</w:t>
      </w:r>
      <w:proofErr w:type="spellEnd"/>
      <w:r>
        <w:t>, provou ser um método robusto para a classificação de batidas cardíacas. Isso sugere que a estrutura dos dados pode ser bem capturada por um modelo baseado em regras.</w:t>
      </w:r>
    </w:p>
    <w:p w14:paraId="1A572598" w14:textId="4602014E" w:rsidR="00FD04CF" w:rsidRDefault="00FD04CF" w:rsidP="003A78E8">
      <w:r>
        <w:t>O KNN também apresentou um desempenho impressionante, o que indica que a natureza dos dados pode ser tal que batidas cardíacas semelhantes tendem a ser agrupadas juntas no espaço de características. Isso faz do KNN uma boa escolha para essa tarefa de classificação.</w:t>
      </w:r>
    </w:p>
    <w:p w14:paraId="5D596103" w14:textId="55F8E66D" w:rsidR="00FD04CF" w:rsidRDefault="00FD04CF" w:rsidP="003A78E8">
      <w:r>
        <w:t xml:space="preserve">Por outro lado, o algoritmo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apresentou o desempenho mais baixo em todas as métricas. Isso pode ser devido à sua suposição de independência entre os recursos, que pode não ser válida para este conjunto de dados.</w:t>
      </w:r>
    </w:p>
    <w:p w14:paraId="11C0827C" w14:textId="48ACBC50" w:rsidR="00FD04CF" w:rsidRDefault="00FD04CF" w:rsidP="003A78E8">
      <w:r>
        <w:t>Os resultados deste estudo destacam a importância da escolha do algoritmo de aprendizado de máquina adequado para a tarefa de classificação de batidas cardíacas em exames de ECG. Cada algoritmo tem suas próprias forças e fraquezas, e a eficácia de um algoritmo pode depender fortemente da natureza dos dados.</w:t>
      </w:r>
    </w:p>
    <w:p w14:paraId="2B591D4E" w14:textId="25C1254D" w:rsidR="00FD04CF" w:rsidRDefault="00FD04CF" w:rsidP="003A78E8">
      <w:r>
        <w:t xml:space="preserve">Além disso, este estudo ressalta a importância da normalização dos dados ao lidar com classes desequilibradas. Sem a normalização, o modelo pode ser excessivamente influenciado pela classe majoritária </w:t>
      </w:r>
      <w:r w:rsidR="002E52CA">
        <w:t xml:space="preserve">– nesse caso, batidas normais - </w:t>
      </w:r>
      <w:r>
        <w:t>e ter um desempenho ruim na classificação das classes minoritárias.</w:t>
      </w:r>
    </w:p>
    <w:p w14:paraId="29FE6F75" w14:textId="579A2E80" w:rsidR="00FD04CF" w:rsidRPr="00FD04CF" w:rsidRDefault="0033536D" w:rsidP="003A78E8">
      <w:r>
        <w:t>Concluindo</w:t>
      </w:r>
      <w:r w:rsidR="00FD04CF">
        <w:t>, este estudo fornece insights valiosos sobre a aplicação de técnicas de aprendizado de máquina para a classificação de batidas cardíacas em exames de ECG. Os resultados podem servir como um ponto de partida para pesquisas futuras nesta área, com o objetivo de desenvolver sistemas de diagnóstico cardíaco mais precisos e eficazes.</w:t>
      </w:r>
    </w:p>
    <w:p w14:paraId="4C383717" w14:textId="25F59A0B" w:rsidR="00865A3C" w:rsidRPr="00865A3C" w:rsidRDefault="00D711B3" w:rsidP="001C62CE">
      <w:pPr>
        <w:pStyle w:val="Ttulo1"/>
        <w:rPr>
          <w:lang w:val="en-US"/>
        </w:rPr>
      </w:pPr>
      <w:r w:rsidRPr="00865A3C">
        <w:rPr>
          <w:lang w:val="en-US"/>
        </w:rPr>
        <w:t>REFERÊNCIAS</w:t>
      </w:r>
    </w:p>
    <w:p w14:paraId="245A6FAA" w14:textId="723E7455" w:rsidR="005A20B2" w:rsidRPr="005A20B2" w:rsidRDefault="005A20B2" w:rsidP="00ED2181">
      <w:pPr>
        <w:ind w:firstLine="0"/>
        <w:rPr>
          <w:lang w:val="en-US"/>
        </w:rPr>
      </w:pPr>
      <w:r w:rsidRPr="005A20B2">
        <w:rPr>
          <w:lang w:val="en-US"/>
        </w:rPr>
        <w:t xml:space="preserve">Goldberger AL, Amaral LAN, Glass L, </w:t>
      </w:r>
      <w:proofErr w:type="spellStart"/>
      <w:r w:rsidRPr="005A20B2">
        <w:rPr>
          <w:lang w:val="en-US"/>
        </w:rPr>
        <w:t>Hausdorff</w:t>
      </w:r>
      <w:proofErr w:type="spellEnd"/>
      <w:r w:rsidRPr="005A20B2">
        <w:rPr>
          <w:lang w:val="en-US"/>
        </w:rPr>
        <w:t xml:space="preserve"> JM, Ivanov </w:t>
      </w:r>
      <w:proofErr w:type="spellStart"/>
      <w:r w:rsidRPr="005A20B2">
        <w:rPr>
          <w:lang w:val="en-US"/>
        </w:rPr>
        <w:t>PCh</w:t>
      </w:r>
      <w:proofErr w:type="spellEnd"/>
      <w:r w:rsidRPr="005A20B2">
        <w:rPr>
          <w:lang w:val="en-US"/>
        </w:rPr>
        <w:t xml:space="preserve">, Mark RG, </w:t>
      </w:r>
      <w:proofErr w:type="spellStart"/>
      <w:r w:rsidRPr="005A20B2">
        <w:rPr>
          <w:lang w:val="en-US"/>
        </w:rPr>
        <w:t>Mietus</w:t>
      </w:r>
      <w:proofErr w:type="spellEnd"/>
      <w:r w:rsidRPr="005A20B2">
        <w:rPr>
          <w:lang w:val="en-US"/>
        </w:rPr>
        <w:t xml:space="preserve"> JE, Moody GB, Peng C-K, Stanley HE. </w:t>
      </w:r>
      <w:proofErr w:type="spellStart"/>
      <w:r w:rsidRPr="005A20B2">
        <w:rPr>
          <w:lang w:val="en-US"/>
        </w:rPr>
        <w:t>PhysioBank</w:t>
      </w:r>
      <w:proofErr w:type="spellEnd"/>
      <w:r w:rsidRPr="005A20B2">
        <w:rPr>
          <w:lang w:val="en-US"/>
        </w:rPr>
        <w:t xml:space="preserve">, </w:t>
      </w:r>
      <w:proofErr w:type="spellStart"/>
      <w:r w:rsidRPr="005A20B2">
        <w:rPr>
          <w:lang w:val="en-US"/>
        </w:rPr>
        <w:t>PhysioToolkit</w:t>
      </w:r>
      <w:proofErr w:type="spellEnd"/>
      <w:r w:rsidRPr="005A20B2">
        <w:rPr>
          <w:lang w:val="en-US"/>
        </w:rPr>
        <w:t xml:space="preserve">, and </w:t>
      </w:r>
      <w:proofErr w:type="spellStart"/>
      <w:r w:rsidRPr="005A20B2">
        <w:rPr>
          <w:lang w:val="en-US"/>
        </w:rPr>
        <w:t>PhysioNet</w:t>
      </w:r>
      <w:proofErr w:type="spellEnd"/>
      <w:r w:rsidRPr="005A20B2">
        <w:rPr>
          <w:lang w:val="en-US"/>
        </w:rPr>
        <w:t>: Components of a New Research Resource for Complex Physiologic Signals (2003). Circulation. 101(23</w:t>
      </w:r>
      <w:proofErr w:type="gramStart"/>
      <w:r w:rsidRPr="005A20B2">
        <w:rPr>
          <w:lang w:val="en-US"/>
        </w:rPr>
        <w:t>):e</w:t>
      </w:r>
      <w:proofErr w:type="gramEnd"/>
      <w:r w:rsidRPr="005A20B2">
        <w:rPr>
          <w:lang w:val="en-US"/>
        </w:rPr>
        <w:t>215-e220.</w:t>
      </w:r>
    </w:p>
    <w:p w14:paraId="137AA069" w14:textId="4FA4C5C6" w:rsidR="005A20B2" w:rsidRPr="005A20B2" w:rsidRDefault="005A20B2" w:rsidP="00ED2181">
      <w:pPr>
        <w:ind w:firstLine="0"/>
        <w:rPr>
          <w:lang w:val="en-US"/>
        </w:rPr>
      </w:pPr>
      <w:r w:rsidRPr="005A20B2">
        <w:rPr>
          <w:lang w:val="en-US"/>
        </w:rPr>
        <w:t xml:space="preserve">Moody GB, Mark RG. The impact of the MIT-BIH Arrhythmia Database. IEEE </w:t>
      </w:r>
      <w:proofErr w:type="spellStart"/>
      <w:r w:rsidRPr="005A20B2">
        <w:rPr>
          <w:lang w:val="en-US"/>
        </w:rPr>
        <w:t>Eng</w:t>
      </w:r>
      <w:proofErr w:type="spellEnd"/>
      <w:r w:rsidRPr="005A20B2">
        <w:rPr>
          <w:lang w:val="en-US"/>
        </w:rPr>
        <w:t xml:space="preserve"> in Med and Biol 20(3):45-50 (May-June 2001). (PMID: 11446209)</w:t>
      </w:r>
    </w:p>
    <w:p w14:paraId="617A0B80" w14:textId="19974E93" w:rsidR="005A20B2" w:rsidRPr="005A20B2" w:rsidRDefault="005A20B2" w:rsidP="00ED2181">
      <w:pPr>
        <w:ind w:firstLine="0"/>
        <w:rPr>
          <w:lang w:val="en-US"/>
        </w:rPr>
      </w:pPr>
      <w:proofErr w:type="spellStart"/>
      <w:r w:rsidRPr="005A20B2">
        <w:rPr>
          <w:lang w:val="en-US"/>
        </w:rPr>
        <w:t>Kotsiantis</w:t>
      </w:r>
      <w:proofErr w:type="spellEnd"/>
      <w:r w:rsidRPr="005A20B2">
        <w:rPr>
          <w:lang w:val="en-US"/>
        </w:rPr>
        <w:t xml:space="preserve"> SB. Decision trees: a recent overview. </w:t>
      </w:r>
      <w:proofErr w:type="spellStart"/>
      <w:r w:rsidRPr="005A20B2">
        <w:rPr>
          <w:lang w:val="en-US"/>
        </w:rPr>
        <w:t>Artif</w:t>
      </w:r>
      <w:proofErr w:type="spellEnd"/>
      <w:r w:rsidRPr="005A20B2">
        <w:rPr>
          <w:lang w:val="en-US"/>
        </w:rPr>
        <w:t xml:space="preserve"> </w:t>
      </w:r>
      <w:proofErr w:type="spellStart"/>
      <w:r w:rsidRPr="005A20B2">
        <w:rPr>
          <w:lang w:val="en-US"/>
        </w:rPr>
        <w:t>Intell</w:t>
      </w:r>
      <w:proofErr w:type="spellEnd"/>
      <w:r w:rsidRPr="005A20B2">
        <w:rPr>
          <w:lang w:val="en-US"/>
        </w:rPr>
        <w:t xml:space="preserve"> Rev. 2013; 39:261–283.</w:t>
      </w:r>
    </w:p>
    <w:p w14:paraId="104895FC" w14:textId="5CAE0C15" w:rsidR="005A20B2" w:rsidRPr="005A20B2" w:rsidRDefault="005A20B2" w:rsidP="00ED2181">
      <w:pPr>
        <w:ind w:firstLine="0"/>
        <w:rPr>
          <w:lang w:val="en-US"/>
        </w:rPr>
      </w:pPr>
      <w:r w:rsidRPr="005A20B2">
        <w:rPr>
          <w:lang w:val="en-US"/>
        </w:rPr>
        <w:t xml:space="preserve">Cortes C, </w:t>
      </w:r>
      <w:proofErr w:type="spellStart"/>
      <w:r w:rsidRPr="005A20B2">
        <w:rPr>
          <w:lang w:val="en-US"/>
        </w:rPr>
        <w:t>Vapnik</w:t>
      </w:r>
      <w:proofErr w:type="spellEnd"/>
      <w:r w:rsidRPr="005A20B2">
        <w:rPr>
          <w:lang w:val="en-US"/>
        </w:rPr>
        <w:t xml:space="preserve"> V. Support-vector networks. Mach Learn. 1995; 20:273–297.</w:t>
      </w:r>
    </w:p>
    <w:p w14:paraId="06A5D1DA" w14:textId="1C1261B1" w:rsidR="005A20B2" w:rsidRPr="005A20B2" w:rsidRDefault="005A20B2" w:rsidP="00ED2181">
      <w:pPr>
        <w:ind w:firstLine="0"/>
        <w:rPr>
          <w:lang w:val="en-US"/>
        </w:rPr>
      </w:pPr>
      <w:r w:rsidRPr="005A20B2">
        <w:rPr>
          <w:lang w:val="en-US"/>
        </w:rPr>
        <w:t>Cover T, Hart P. Nearest neighbor pattern classification. IEEE Trans Inf Theory. 1967; 13:21–27.</w:t>
      </w:r>
    </w:p>
    <w:p w14:paraId="5C0A8313" w14:textId="710499F7" w:rsidR="00FF5E30" w:rsidRPr="00AA0F91" w:rsidRDefault="005A20B2" w:rsidP="00ED2181">
      <w:pPr>
        <w:ind w:firstLine="0"/>
        <w:rPr>
          <w:lang w:val="en-US"/>
        </w:rPr>
      </w:pPr>
      <w:proofErr w:type="spellStart"/>
      <w:r w:rsidRPr="005A20B2">
        <w:rPr>
          <w:lang w:val="en-US"/>
        </w:rPr>
        <w:t>Rish</w:t>
      </w:r>
      <w:proofErr w:type="spellEnd"/>
      <w:r w:rsidRPr="005A20B2">
        <w:rPr>
          <w:lang w:val="en-US"/>
        </w:rPr>
        <w:t xml:space="preserve"> I. An empirical study of the naive Bayes classifier. In: IJCAI 2001 workshop on empirical methods in artificial intelligence. Vol. 3. 2001. p. 41–46.</w:t>
      </w:r>
    </w:p>
    <w:sectPr w:rsidR="00FF5E30" w:rsidRPr="00AA0F91">
      <w:headerReference w:type="default" r:id="rId8"/>
      <w:footerReference w:type="default" r:id="rId9"/>
      <w:pgSz w:w="11906" w:h="16838"/>
      <w:pgMar w:top="1560" w:right="1418" w:bottom="1418" w:left="1418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D3AC" w14:textId="77777777" w:rsidR="00E97FFA" w:rsidRDefault="00E97FFA">
      <w:r>
        <w:separator/>
      </w:r>
    </w:p>
  </w:endnote>
  <w:endnote w:type="continuationSeparator" w:id="0">
    <w:p w14:paraId="75F40EF2" w14:textId="77777777" w:rsidR="00E97FFA" w:rsidRDefault="00E9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F32B" w14:textId="7F466084" w:rsidR="00FF5E30" w:rsidRDefault="00FF5E30">
    <w:pPr>
      <w:jc w:val="center"/>
      <w:rPr>
        <w:rFonts w:ascii="Eras Medium ITC" w:hAnsi="Eras Medium ITC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FDB1" w14:textId="77777777" w:rsidR="00E97FFA" w:rsidRDefault="00E97FFA">
      <w:r>
        <w:separator/>
      </w:r>
    </w:p>
  </w:footnote>
  <w:footnote w:type="continuationSeparator" w:id="0">
    <w:p w14:paraId="11B2D2B4" w14:textId="77777777" w:rsidR="00E97FFA" w:rsidRDefault="00E97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2D4D" w14:textId="4881427C" w:rsidR="00FF5E30" w:rsidRDefault="00FF5E30">
    <w:pPr>
      <w:pStyle w:val="Cabealho"/>
      <w:ind w:left="-1418" w:right="-1418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297F"/>
    <w:multiLevelType w:val="hybridMultilevel"/>
    <w:tmpl w:val="71B6D9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142F4"/>
    <w:multiLevelType w:val="multilevel"/>
    <w:tmpl w:val="8830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63E3B"/>
    <w:multiLevelType w:val="multilevel"/>
    <w:tmpl w:val="260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D5628"/>
    <w:multiLevelType w:val="hybridMultilevel"/>
    <w:tmpl w:val="E32A56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0C277E"/>
    <w:multiLevelType w:val="multilevel"/>
    <w:tmpl w:val="939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8865">
    <w:abstractNumId w:val="4"/>
  </w:num>
  <w:num w:numId="2" w16cid:durableId="1001548414">
    <w:abstractNumId w:val="2"/>
  </w:num>
  <w:num w:numId="3" w16cid:durableId="1022517275">
    <w:abstractNumId w:val="1"/>
  </w:num>
  <w:num w:numId="4" w16cid:durableId="688604164">
    <w:abstractNumId w:val="0"/>
  </w:num>
  <w:num w:numId="5" w16cid:durableId="117325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30"/>
    <w:rsid w:val="001A1506"/>
    <w:rsid w:val="001C62CE"/>
    <w:rsid w:val="00267EFE"/>
    <w:rsid w:val="00272728"/>
    <w:rsid w:val="002E52CA"/>
    <w:rsid w:val="002F3F42"/>
    <w:rsid w:val="0033536D"/>
    <w:rsid w:val="00387BC1"/>
    <w:rsid w:val="003A78E8"/>
    <w:rsid w:val="003B4E53"/>
    <w:rsid w:val="003E768C"/>
    <w:rsid w:val="0042639E"/>
    <w:rsid w:val="00434E5F"/>
    <w:rsid w:val="00487DFC"/>
    <w:rsid w:val="005A20B2"/>
    <w:rsid w:val="00761288"/>
    <w:rsid w:val="007748ED"/>
    <w:rsid w:val="00800C39"/>
    <w:rsid w:val="00865A3C"/>
    <w:rsid w:val="00942AA2"/>
    <w:rsid w:val="0094772A"/>
    <w:rsid w:val="00A244C9"/>
    <w:rsid w:val="00AA0F91"/>
    <w:rsid w:val="00BD33F6"/>
    <w:rsid w:val="00BE1A60"/>
    <w:rsid w:val="00C30683"/>
    <w:rsid w:val="00C34880"/>
    <w:rsid w:val="00D471BB"/>
    <w:rsid w:val="00D711B3"/>
    <w:rsid w:val="00D818CB"/>
    <w:rsid w:val="00D84DD1"/>
    <w:rsid w:val="00D91D9E"/>
    <w:rsid w:val="00DD1767"/>
    <w:rsid w:val="00DD7D02"/>
    <w:rsid w:val="00DE7CF0"/>
    <w:rsid w:val="00E835B4"/>
    <w:rsid w:val="00E97FFA"/>
    <w:rsid w:val="00ED2181"/>
    <w:rsid w:val="00F34EA9"/>
    <w:rsid w:val="00FC0147"/>
    <w:rsid w:val="00FD04CF"/>
    <w:rsid w:val="00FF028D"/>
    <w:rsid w:val="00F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9F4B"/>
  <w15:docId w15:val="{270A808E-8121-451A-A238-80748783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67"/>
    <w:pPr>
      <w:spacing w:after="120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87BC1"/>
    <w:pPr>
      <w:keepNext/>
      <w:keepLines/>
      <w:adjustRightInd w:val="0"/>
      <w:snapToGrid w:val="0"/>
      <w:spacing w:before="480"/>
      <w:ind w:firstLine="0"/>
      <w:jc w:val="left"/>
      <w:outlineLvl w:val="0"/>
    </w:pPr>
    <w:rPr>
      <w:rFonts w:eastAsiaTheme="majorEastAsia"/>
      <w:b/>
      <w:bCs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56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6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16131"/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qFormat/>
    <w:rsid w:val="00016131"/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qFormat/>
    <w:rsid w:val="007B5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7B56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qFormat/>
    <w:rsid w:val="007B56E4"/>
    <w:pPr>
      <w:keepNext/>
      <w:jc w:val="center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016131"/>
    <w:pPr>
      <w:tabs>
        <w:tab w:val="center" w:pos="4252"/>
        <w:tab w:val="right" w:pos="8504"/>
      </w:tabs>
    </w:pPr>
    <w:rPr>
      <w:rFonts w:ascii="Calibri" w:eastAsia="Calibri" w:hAnsi="Calibri"/>
    </w:rPr>
  </w:style>
  <w:style w:type="paragraph" w:styleId="Rodap">
    <w:name w:val="footer"/>
    <w:basedOn w:val="Normal"/>
    <w:link w:val="RodapChar"/>
    <w:uiPriority w:val="99"/>
    <w:unhideWhenUsed/>
    <w:rsid w:val="00016131"/>
    <w:pPr>
      <w:tabs>
        <w:tab w:val="center" w:pos="4252"/>
        <w:tab w:val="right" w:pos="8504"/>
      </w:tabs>
    </w:pPr>
    <w:rPr>
      <w:rFonts w:ascii="Calibri" w:eastAsia="Calibri" w:hAnsi="Calibri"/>
    </w:rPr>
  </w:style>
  <w:style w:type="paragraph" w:styleId="PargrafodaLista">
    <w:name w:val="List Paragraph"/>
    <w:basedOn w:val="Normal"/>
    <w:uiPriority w:val="34"/>
    <w:qFormat/>
    <w:rsid w:val="00016131"/>
    <w:pPr>
      <w:ind w:left="720"/>
      <w:contextualSpacing/>
    </w:pPr>
  </w:style>
  <w:style w:type="paragraph" w:customStyle="1" w:styleId="Fatec-Texto">
    <w:name w:val="Fatec-Texto"/>
    <w:basedOn w:val="Normal"/>
    <w:qFormat/>
    <w:rsid w:val="007B56E4"/>
    <w:pPr>
      <w:widowControl w:val="0"/>
      <w:spacing w:line="360" w:lineRule="auto"/>
      <w:ind w:firstLine="851"/>
    </w:pPr>
  </w:style>
  <w:style w:type="paragraph" w:customStyle="1" w:styleId="Fatec-SeoPrimria">
    <w:name w:val="Fatec-Seção Primária"/>
    <w:basedOn w:val="Normal"/>
    <w:qFormat/>
    <w:rsid w:val="007B56E4"/>
    <w:pPr>
      <w:spacing w:line="360" w:lineRule="auto"/>
      <w:outlineLvl w:val="0"/>
    </w:pPr>
    <w:rPr>
      <w:b/>
      <w:bCs/>
      <w:caps/>
      <w:sz w:val="28"/>
      <w:szCs w:val="28"/>
    </w:rPr>
  </w:style>
  <w:style w:type="paragraph" w:customStyle="1" w:styleId="Fatec-SeoSecundria">
    <w:name w:val="Fatec-Seção Secundária"/>
    <w:basedOn w:val="Ttulo2"/>
    <w:qFormat/>
    <w:rsid w:val="007B56E4"/>
    <w:pPr>
      <w:keepLines w:val="0"/>
      <w:tabs>
        <w:tab w:val="left" w:pos="360"/>
      </w:tabs>
      <w:spacing w:before="0" w:line="360" w:lineRule="auto"/>
    </w:pPr>
    <w:rPr>
      <w:rFonts w:ascii="Times New Roman" w:eastAsia="Times New Roman" w:hAnsi="Times New Roman" w:cs="Times New Roman"/>
      <w:b/>
      <w:color w:val="00000A"/>
      <w:sz w:val="28"/>
      <w:szCs w:val="28"/>
    </w:rPr>
  </w:style>
  <w:style w:type="paragraph" w:customStyle="1" w:styleId="Fatec-SeoTerciria">
    <w:name w:val="Fatec-Seção Terciária"/>
    <w:basedOn w:val="Ttulo3"/>
    <w:qFormat/>
    <w:rsid w:val="007B56E4"/>
    <w:pPr>
      <w:keepLines w:val="0"/>
      <w:tabs>
        <w:tab w:val="left" w:pos="360"/>
      </w:tabs>
      <w:spacing w:before="0" w:line="360" w:lineRule="auto"/>
    </w:pPr>
    <w:rPr>
      <w:rFonts w:ascii="Times New Roman" w:eastAsia="Times New Roman" w:hAnsi="Times New Roman" w:cs="Times New Roman"/>
      <w:b/>
      <w:color w:val="00000A"/>
    </w:rPr>
  </w:style>
  <w:style w:type="paragraph" w:customStyle="1" w:styleId="Fatec-Ttuloesubttulo">
    <w:name w:val="Fatec-Título e subtítulo"/>
    <w:basedOn w:val="Normal"/>
    <w:qFormat/>
    <w:rsid w:val="004906C0"/>
    <w:pPr>
      <w:tabs>
        <w:tab w:val="right" w:leader="dot" w:pos="9072"/>
      </w:tabs>
      <w:jc w:val="center"/>
    </w:pPr>
    <w:rPr>
      <w:b/>
      <w:caps/>
      <w:sz w:val="28"/>
      <w:szCs w:val="28"/>
    </w:rPr>
  </w:style>
  <w:style w:type="paragraph" w:customStyle="1" w:styleId="TableContents">
    <w:name w:val="Table Contents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387BC1"/>
    <w:rPr>
      <w:rFonts w:ascii="Times New Roman" w:eastAsiaTheme="majorEastAsia" w:hAnsi="Times New Roman" w:cs="Times New Roman"/>
      <w:b/>
      <w:bCs/>
      <w:cap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65A3C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FC014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C0147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387BC1"/>
    <w:pPr>
      <w:spacing w:after="480"/>
      <w:ind w:firstLine="0"/>
      <w:contextualSpacing/>
      <w:jc w:val="center"/>
    </w:pPr>
    <w:rPr>
      <w:rFonts w:eastAsiaTheme="majorEastAsia"/>
      <w:b/>
      <w:bCs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7BC1"/>
    <w:rPr>
      <w:rFonts w:ascii="Times New Roman" w:eastAsiaTheme="majorEastAsia" w:hAnsi="Times New Roman" w:cs="Times New Roman"/>
      <w:b/>
      <w:bCs/>
      <w:spacing w:val="-10"/>
      <w:kern w:val="28"/>
      <w:sz w:val="28"/>
      <w:szCs w:val="5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ilsonjb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1151</Words>
  <Characters>6211</Characters>
  <Application>Microsoft Office Word</Application>
  <DocSecurity>0</DocSecurity>
  <Lines>387</Lines>
  <Paragraphs>175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TÉCNICAS DE APRENDIZADO DE MÁQUINA PARA A IDENTIFICAÇÃO DE ANORMALIDADES EM ELETROCARDIOGRAMAS</vt:lpstr>
    </vt:vector>
  </TitlesOfParts>
  <Manager/>
  <Company/>
  <LinksUpToDate>false</LinksUpToDate>
  <CharactersWithSpaces>7255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TÉCNICAS DE APRENDIZADO DE MÁQUINA PARA A IDENTIFICAÇÃO DE ANORMALIDADES EM ELETROCARDIOGRAMAS</dc:title>
  <dc:subject/>
  <dc:creator>Moacyr Francischetti Corrêa</dc:creator>
  <cp:keywords/>
  <dc:description/>
  <cp:lastModifiedBy>Moacyr Francischetti Corrêa</cp:lastModifiedBy>
  <cp:revision>31</cp:revision>
  <cp:lastPrinted>2024-05-13T14:08:00Z</cp:lastPrinted>
  <dcterms:created xsi:type="dcterms:W3CDTF">2024-05-10T19:45:00Z</dcterms:created>
  <dcterms:modified xsi:type="dcterms:W3CDTF">2024-05-13T14:52:00Z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