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7A" w:val="clear"/>
        <w:spacing w:before="800" w:after="200"/>
        <w:jc w:val="center"/>
      </w:pPr>
      <w:r>
        <w:rPr>
          <w:rFonts w:ascii="Arial" w:cs="Arial" w:eastAsia="Arial" w:hAnsi="Arial"/>
          <w:b/>
          <w:bCs/>
          <w:color w:val="FFFFFF"/>
          <w:sz w:val="48"/>
          <w:szCs w:val="48"/>
        </w:rPr>
        <w:t xml:space="preserve">PLANT DNA INTELLIGENCE PLATFORM</w:t>
      </w:r>
    </w:p>
    <w:p>
      <w:pPr>
        <w:shd w:fill="1A6B7A" w:val="clear"/>
        <w:spacing w:before="0" w:after="200"/>
        <w:jc w:val="center"/>
      </w:pPr>
      <w:r>
        <w:rPr>
          <w:rFonts w:ascii="Arial" w:cs="Arial" w:eastAsia="Arial" w:hAnsi="Arial"/>
          <w:color w:val="D0ECF0"/>
          <w:sz w:val="28"/>
          <w:szCs w:val="28"/>
        </w:rPr>
        <w:t xml:space="preserve">Analyse de l'Arbre d'Objectifs &amp; Proposition de Solution Technique</w:t>
      </w:r>
    </w:p>
    <w:p>
      <w:pPr>
        <w:spacing w:before="200" w:after="800"/>
        <w:jc w:val="center"/>
      </w:pPr>
      <w:r>
        <w:rPr>
          <w:rFonts w:ascii="Arial" w:cs="Arial" w:eastAsia="Arial" w:hAnsi="Arial"/>
          <w:color w:val="555555"/>
          <w:sz w:val="22"/>
          <w:szCs w:val="22"/>
        </w:rPr>
        <w:t xml:space="preserve">Esprit School of Engineering  |  Mars 2026</w:t>
      </w:r>
    </w:p>
    <w:p>
      <w:r>
        <w:br w:type="pag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Introduction &amp; Contexte</w:t>
      </w:r>
    </w:p>
    <w:p>
      <w:pPr>
        <w:spacing w:before="60" w:after="60"/>
      </w:pPr>
      <w:r>
        <w:t xml:space="preserve"/>
      </w:r>
    </w:p>
    <w:p>
      <w:pPr>
        <w:spacing w:before="60" w:after="160"/>
      </w:pPr>
      <w:r>
        <w:rPr>
          <w:rFonts w:ascii="Arial" w:cs="Arial" w:eastAsia="Arial" w:hAnsi="Arial"/>
          <w:b w:val="false"/>
          <w:bCs w:val="false"/>
          <w:color w:val="000000"/>
          <w:sz w:val="22"/>
          <w:szCs w:val="22"/>
        </w:rPr>
        <w:t xml:space="preserve">Le projet Plant DNA Intelligence Platform vise à résoudre un problème structurel majeur : il n'existe aucune plateforme unifiée combinant l'analyse génomique, l'amélioration des cultures par IA, la détection de ravageurs acoustique et un assistant multimodal pour chercheurs et agriculteurs.</w:t>
      </w:r>
    </w:p>
    <w:p>
      <w:pPr>
        <w:spacing w:before="60" w:after="160"/>
      </w:pPr>
      <w:r>
        <w:rPr>
          <w:rFonts w:ascii="Arial" w:cs="Arial" w:eastAsia="Arial" w:hAnsi="Arial"/>
          <w:b w:val="false"/>
          <w:bCs w:val="false"/>
          <w:color w:val="000000"/>
          <w:sz w:val="22"/>
          <w:szCs w:val="22"/>
        </w:rPr>
        <w:t xml:space="preserve">Ce document analyse en détail l'arbre d'objectifs extrait de la présentation du projet, enrichi des spécifications techniques du fichier docx, et propose une architecture de solution concrète reposant sur les outils identifiés.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DD" w:sz="1"/>
              <w:left w:val="single" w:color="CCDDDD" w:sz="1"/>
              <w:bottom w:val="single" w:color="CCDDDD" w:sz="1"/>
              <w:right w:val="single" w:color="CCDDDD" w:sz="1"/>
            </w:tcBorders>
            <w:shd w:fill="E0F0F4" w:val="clear"/>
            <w:tcMar>
              <w:top w:type="dxa" w:w="120"/>
              <w:left w:type="dxa" w:w="200"/>
              <w:bottom w:type="dxa" w:w="120"/>
              <w:right w:type="dxa" w:w="200"/>
            </w:tcMar>
          </w:tcPr>
          <w:p>
            <w:r>
              <w:rPr>
                <w:rFonts w:ascii="Arial" w:cs="Arial" w:eastAsia="Arial" w:hAnsi="Arial"/>
                <w:b/>
                <w:bCs/>
                <w:color w:val="1A6B7A"/>
                <w:sz w:val="22"/>
                <w:szCs w:val="22"/>
              </w:rPr>
              <w:t xml:space="preserve">Problème central</w:t>
            </w:r>
          </w:p>
          <w:p>
            <w:r>
              <w:rPr>
                <w:rFonts w:ascii="Arial" w:cs="Arial" w:eastAsia="Arial" w:hAnsi="Arial"/>
                <w:color w:val="444444"/>
                <w:sz w:val="20"/>
                <w:szCs w:val="20"/>
              </w:rPr>
              <w:t xml:space="preserve">Comment exploiter l'IA pour lire l'ADN végétal, prédire les performances agronomiques sous conditions climatiques futures, et guider des améliorations génétiques précises au sein d'un système éthiquement gouverné ?</w:t>
            </w:r>
          </w:p>
        </w:tc>
      </w:tr>
    </w:tbl>
    <w:p>
      <w:pPr>
        <w:spacing w:before="60" w:after="60"/>
      </w:pPr>
      <w:r>
        <w:t xml:space="preserve"/>
      </w:r>
    </w:p>
    <w:p>
      <w:pPr>
        <w:spacing w:before="60" w:after="60"/>
      </w:pPr>
      <w:r>
        <w:t xml:space="preserv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Analyse de l'Arbre d'Objectifs</w:t>
      </w:r>
    </w:p>
    <w:p>
      <w:pPr>
        <w:spacing w:before="60" w:after="60"/>
      </w:pPr>
      <w:r>
        <w:t xml:space="preserve"/>
      </w:r>
    </w:p>
    <w:p>
      <w:pPr>
        <w:spacing w:before="60" w:after="120"/>
      </w:pPr>
      <w:r>
        <w:rPr>
          <w:rFonts w:ascii="Arial" w:cs="Arial" w:eastAsia="Arial" w:hAnsi="Arial"/>
          <w:b w:val="false"/>
          <w:bCs w:val="false"/>
          <w:color w:val="000000"/>
          <w:sz w:val="22"/>
          <w:szCs w:val="22"/>
        </w:rPr>
        <w:t xml:space="preserve">L'arbre d'objectifs du projet est structuré autour d'un objectif racine central qui se décline en 7 branches principales, chacune correspondant à un module fonctionnel de la plateforme.</w:t>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Objectif Racine</w:t>
      </w:r>
    </w:p>
    <w:p>
      <w:pPr>
        <w:spacing w:before="60" w:after="80"/>
      </w:pPr>
      <w:r>
        <w:rPr>
          <w:rFonts w:ascii="Arial" w:cs="Arial" w:eastAsia="Arial" w:hAnsi="Arial"/>
          <w:b/>
          <w:bCs/>
          <w:color w:val="1A6B7A"/>
          <w:sz w:val="24"/>
          <w:szCs w:val="24"/>
        </w:rPr>
        <w:t xml:space="preserve">Enhance Plant Research and Applications through Comprehensive DNA Manipulation and Management</w:t>
      </w:r>
    </w:p>
    <w:p>
      <w:pPr>
        <w:spacing w:before="60" w:after="160"/>
      </w:pPr>
      <w:r>
        <w:rPr>
          <w:rFonts w:ascii="Arial" w:cs="Arial" w:eastAsia="Arial" w:hAnsi="Arial"/>
          <w:b w:val="false"/>
          <w:bCs w:val="false"/>
          <w:color w:val="555555"/>
          <w:sz w:val="22"/>
          <w:szCs w:val="22"/>
        </w:rPr>
        <w:t xml:space="preserve">Reformulé en Data Science : Analyze, Predict, and Optimize Plant Genomics Using AI</w:t>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1 — DNA Intelligence and Analysis</w:t>
      </w:r>
    </w:p>
    <w:p>
      <w:pPr>
        <w:spacing w:before="60" w:after="120"/>
      </w:pPr>
      <w:r>
        <w:rPr>
          <w:rFonts w:ascii="Arial" w:cs="Arial" w:eastAsia="Arial" w:hAnsi="Arial"/>
          <w:b w:val="false"/>
          <w:bCs w:val="false"/>
          <w:color w:val="000000"/>
          <w:sz w:val="22"/>
          <w:szCs w:val="22"/>
        </w:rPr>
        <w:t xml:space="preserve">Objectif : Analyser et classifier les séquences génomiques végétales.</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1.1 Système d'empreinte génétique (Genetic Fingerprint System)</w:t>
      </w:r>
    </w:p>
    <w:p>
      <w:pPr>
        <w:spacing w:before="60" w:after="120"/>
      </w:pPr>
      <w:r>
        <w:rPr>
          <w:rFonts w:ascii="Arial" w:cs="Arial" w:eastAsia="Arial" w:hAnsi="Arial"/>
          <w:b w:val="false"/>
          <w:bCs w:val="false"/>
          <w:color w:val="000000"/>
          <w:sz w:val="22"/>
          <w:szCs w:val="22"/>
        </w:rPr>
        <w:t xml:space="preserve">Identifier et encoder les signatures génomiques des plantes pour créer des empreintes uniques par variété.</w:t>
      </w:r>
    </w:p>
    <w:p>
      <w:pPr>
        <w:pStyle w:val="ListParagraph"/>
        <w:numPr>
          <w:ilvl w:val="0"/>
          <w:numId w:val="2"/>
        </w:numPr>
        <w:spacing w:before="40" w:after="40"/>
      </w:pPr>
      <w:r>
        <w:rPr>
          <w:rFonts w:ascii="Arial" w:cs="Arial" w:eastAsia="Arial" w:hAnsi="Arial"/>
          <w:color w:val="333333"/>
          <w:sz w:val="22"/>
          <w:szCs w:val="22"/>
        </w:rPr>
        <w:t xml:space="preserve">Extraction de features génomiques depuis les séquences ADN</w:t>
      </w:r>
    </w:p>
    <w:p>
      <w:pPr>
        <w:pStyle w:val="ListParagraph"/>
        <w:numPr>
          <w:ilvl w:val="0"/>
          <w:numId w:val="2"/>
        </w:numPr>
        <w:spacing w:before="40" w:after="40"/>
      </w:pPr>
      <w:r>
        <w:rPr>
          <w:rFonts w:ascii="Arial" w:cs="Arial" w:eastAsia="Arial" w:hAnsi="Arial"/>
          <w:color w:val="333333"/>
          <w:sz w:val="22"/>
          <w:szCs w:val="22"/>
        </w:rPr>
        <w:t xml:space="preserve">Encodage via représentation k-mer</w:t>
      </w:r>
    </w:p>
    <w:p>
      <w:pPr>
        <w:pStyle w:val="ListParagraph"/>
        <w:numPr>
          <w:ilvl w:val="0"/>
          <w:numId w:val="2"/>
        </w:numPr>
        <w:spacing w:before="40" w:after="40"/>
      </w:pPr>
      <w:r>
        <w:rPr>
          <w:rFonts w:ascii="Arial" w:cs="Arial" w:eastAsia="Arial" w:hAnsi="Arial"/>
          <w:color w:val="333333"/>
          <w:sz w:val="22"/>
          <w:szCs w:val="22"/>
        </w:rPr>
        <w:t xml:space="preserve">Clustering des signatures pour identifier les variétés</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1.2 Système de classification végétale (Plant Classification System)</w:t>
      </w:r>
    </w:p>
    <w:p>
      <w:pPr>
        <w:spacing w:before="60" w:after="120"/>
      </w:pPr>
      <w:r>
        <w:rPr>
          <w:rFonts w:ascii="Arial" w:cs="Arial" w:eastAsia="Arial" w:hAnsi="Arial"/>
          <w:b w:val="false"/>
          <w:bCs w:val="false"/>
          <w:color w:val="000000"/>
          <w:sz w:val="22"/>
          <w:szCs w:val="22"/>
        </w:rPr>
        <w:t xml:space="preserve">Classifier les plantes à partir de leur séquence ADN (espèce, variété).</w:t>
      </w:r>
    </w:p>
    <w:p>
      <w:pPr>
        <w:pStyle w:val="ListParagraph"/>
        <w:numPr>
          <w:ilvl w:val="0"/>
          <w:numId w:val="2"/>
        </w:numPr>
        <w:spacing w:before="40" w:after="40"/>
      </w:pPr>
      <w:r>
        <w:rPr>
          <w:rFonts w:ascii="Arial" w:cs="Arial" w:eastAsia="Arial" w:hAnsi="Arial"/>
          <w:color w:val="333333"/>
          <w:sz w:val="22"/>
          <w:szCs w:val="22"/>
        </w:rPr>
        <w:t xml:space="preserve">Encodage numérique des séquences ADN</w:t>
      </w:r>
    </w:p>
    <w:p>
      <w:pPr>
        <w:pStyle w:val="ListParagraph"/>
        <w:numPr>
          <w:ilvl w:val="0"/>
          <w:numId w:val="2"/>
        </w:numPr>
        <w:spacing w:before="40" w:after="40"/>
      </w:pPr>
      <w:r>
        <w:rPr>
          <w:rFonts w:ascii="Arial" w:cs="Arial" w:eastAsia="Arial" w:hAnsi="Arial"/>
          <w:color w:val="333333"/>
          <w:sz w:val="22"/>
          <w:szCs w:val="22"/>
        </w:rPr>
        <w:t xml:space="preserve">Entraînement de modèles de classification sur des datasets génomiques</w:t>
      </w:r>
    </w:p>
    <w:p>
      <w:pPr>
        <w:pStyle w:val="ListParagraph"/>
        <w:numPr>
          <w:ilvl w:val="0"/>
          <w:numId w:val="2"/>
        </w:numPr>
        <w:spacing w:before="40" w:after="40"/>
      </w:pPr>
      <w:r>
        <w:rPr>
          <w:rFonts w:ascii="Arial" w:cs="Arial" w:eastAsia="Arial" w:hAnsi="Arial"/>
          <w:color w:val="333333"/>
          <w:sz w:val="22"/>
          <w:szCs w:val="22"/>
        </w:rPr>
        <w:t xml:space="preserve">Prédiction d'espèce ou variété depuis l'ADN brut</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1.3 Moteur de recherche ADN intelligent (DNA Search Engine)</w:t>
      </w:r>
    </w:p>
    <w:p>
      <w:pPr>
        <w:spacing w:before="60" w:after="120"/>
      </w:pPr>
      <w:r>
        <w:rPr>
          <w:rFonts w:ascii="Arial" w:cs="Arial" w:eastAsia="Arial" w:hAnsi="Arial"/>
          <w:b w:val="false"/>
          <w:bCs w:val="false"/>
          <w:color w:val="000000"/>
          <w:sz w:val="22"/>
          <w:szCs w:val="22"/>
        </w:rPr>
        <w:t xml:space="preserve">Indexer et retrouver des séquences génomiques similaires dans des bases massives.</w:t>
      </w:r>
    </w:p>
    <w:p>
      <w:pPr>
        <w:pStyle w:val="ListParagraph"/>
        <w:numPr>
          <w:ilvl w:val="0"/>
          <w:numId w:val="2"/>
        </w:numPr>
        <w:spacing w:before="40" w:after="40"/>
      </w:pPr>
      <w:r>
        <w:rPr>
          <w:rFonts w:ascii="Arial" w:cs="Arial" w:eastAsia="Arial" w:hAnsi="Arial"/>
          <w:color w:val="333333"/>
          <w:sz w:val="22"/>
          <w:szCs w:val="22"/>
        </w:rPr>
        <w:t xml:space="preserve">Génération d'embeddings ADN (DNABERT, ESM)</w:t>
      </w:r>
    </w:p>
    <w:p>
      <w:pPr>
        <w:pStyle w:val="ListParagraph"/>
        <w:numPr>
          <w:ilvl w:val="0"/>
          <w:numId w:val="2"/>
        </w:numPr>
        <w:spacing w:before="40" w:after="40"/>
      </w:pPr>
      <w:r>
        <w:rPr>
          <w:rFonts w:ascii="Arial" w:cs="Arial" w:eastAsia="Arial" w:hAnsi="Arial"/>
          <w:color w:val="333333"/>
          <w:sz w:val="22"/>
          <w:szCs w:val="22"/>
        </w:rPr>
        <w:t xml:space="preserve">Indexation vectorielle avec FAISS</w:t>
      </w:r>
    </w:p>
    <w:p>
      <w:pPr>
        <w:pStyle w:val="ListParagraph"/>
        <w:numPr>
          <w:ilvl w:val="0"/>
          <w:numId w:val="2"/>
        </w:numPr>
        <w:spacing w:before="40" w:after="40"/>
      </w:pPr>
      <w:r>
        <w:rPr>
          <w:rFonts w:ascii="Arial" w:cs="Arial" w:eastAsia="Arial" w:hAnsi="Arial"/>
          <w:color w:val="333333"/>
          <w:sz w:val="22"/>
          <w:szCs w:val="22"/>
        </w:rPr>
        <w:t xml:space="preserve">Recherche par similarité + scoring</w:t>
      </w:r>
    </w:p>
    <w:p>
      <w:pPr>
        <w:pStyle w:val="ListParagraph"/>
        <w:numPr>
          <w:ilvl w:val="0"/>
          <w:numId w:val="2"/>
        </w:numPr>
        <w:spacing w:before="40" w:after="40"/>
      </w:pPr>
      <w:r>
        <w:rPr>
          <w:rFonts w:ascii="Arial" w:cs="Arial" w:eastAsia="Arial" w:hAnsi="Arial"/>
          <w:color w:val="333333"/>
          <w:sz w:val="22"/>
          <w:szCs w:val="22"/>
        </w:rPr>
        <w:t xml:space="preserve">Recherche par image de plante</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1.4 Support décisionnel génomique (Genomic Decision Support)</w:t>
      </w:r>
    </w:p>
    <w:p>
      <w:pPr>
        <w:spacing w:before="60" w:after="120"/>
      </w:pPr>
      <w:r>
        <w:rPr>
          <w:rFonts w:ascii="Arial" w:cs="Arial" w:eastAsia="Arial" w:hAnsi="Arial"/>
          <w:b w:val="false"/>
          <w:bCs w:val="false"/>
          <w:color w:val="000000"/>
          <w:sz w:val="22"/>
          <w:szCs w:val="22"/>
        </w:rPr>
        <w:t xml:space="preserve">Inférer des traits biologiques à partir de la similarité génomique et de l'analyse d'homologie.</w:t>
      </w:r>
    </w:p>
    <w:p>
      <w:pPr>
        <w:pStyle w:val="ListParagraph"/>
        <w:numPr>
          <w:ilvl w:val="0"/>
          <w:numId w:val="2"/>
        </w:numPr>
        <w:spacing w:before="40" w:after="40"/>
      </w:pPr>
      <w:r>
        <w:rPr>
          <w:rFonts w:ascii="Arial" w:cs="Arial" w:eastAsia="Arial" w:hAnsi="Arial"/>
          <w:color w:val="333333"/>
          <w:sz w:val="22"/>
          <w:szCs w:val="22"/>
        </w:rPr>
        <w:t xml:space="preserve">Analyse de similarité cross-bases de données</w:t>
      </w:r>
    </w:p>
    <w:p>
      <w:pPr>
        <w:pStyle w:val="ListParagraph"/>
        <w:numPr>
          <w:ilvl w:val="0"/>
          <w:numId w:val="2"/>
        </w:numPr>
        <w:spacing w:before="40" w:after="40"/>
      </w:pPr>
      <w:r>
        <w:rPr>
          <w:rFonts w:ascii="Arial" w:cs="Arial" w:eastAsia="Arial" w:hAnsi="Arial"/>
          <w:color w:val="333333"/>
          <w:sz w:val="22"/>
          <w:szCs w:val="22"/>
        </w:rPr>
        <w:t xml:space="preserve">Inférence de traits fonctionnels par homologie</w:t>
      </w:r>
    </w:p>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2 — Genetic Improvement and Manipulation</w:t>
      </w:r>
    </w:p>
    <w:p>
      <w:pPr>
        <w:spacing w:before="60" w:after="120"/>
      </w:pPr>
      <w:r>
        <w:rPr>
          <w:rFonts w:ascii="Arial" w:cs="Arial" w:eastAsia="Arial" w:hAnsi="Arial"/>
          <w:b w:val="false"/>
          <w:bCs w:val="false"/>
          <w:color w:val="000000"/>
          <w:sz w:val="22"/>
          <w:szCs w:val="22"/>
        </w:rPr>
        <w:t xml:space="preserve">Objectif : Prédire et optimiser les stratégies d'amélioration génétique.</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2.1 Système de recommandation d'hybridation</w:t>
      </w:r>
    </w:p>
    <w:p>
      <w:pPr>
        <w:pStyle w:val="ListParagraph"/>
        <w:numPr>
          <w:ilvl w:val="0"/>
          <w:numId w:val="2"/>
        </w:numPr>
        <w:spacing w:before="40" w:after="40"/>
      </w:pPr>
      <w:r>
        <w:rPr>
          <w:rFonts w:ascii="Arial" w:cs="Arial" w:eastAsia="Arial" w:hAnsi="Arial"/>
          <w:color w:val="333333"/>
          <w:sz w:val="22"/>
          <w:szCs w:val="22"/>
        </w:rPr>
        <w:t xml:space="preserve">Analyse des traits phénotypiques et génomiques des parents</w:t>
      </w:r>
    </w:p>
    <w:p>
      <w:pPr>
        <w:pStyle w:val="ListParagraph"/>
        <w:numPr>
          <w:ilvl w:val="0"/>
          <w:numId w:val="2"/>
        </w:numPr>
        <w:spacing w:before="40" w:after="40"/>
      </w:pPr>
      <w:r>
        <w:rPr>
          <w:rFonts w:ascii="Arial" w:cs="Arial" w:eastAsia="Arial" w:hAnsi="Arial"/>
          <w:color w:val="333333"/>
          <w:sz w:val="22"/>
          <w:szCs w:val="22"/>
        </w:rPr>
        <w:t xml:space="preserve">Évaluation de la compatibilité génétique</w:t>
      </w:r>
    </w:p>
    <w:p>
      <w:pPr>
        <w:pStyle w:val="ListParagraph"/>
        <w:numPr>
          <w:ilvl w:val="0"/>
          <w:numId w:val="2"/>
        </w:numPr>
        <w:spacing w:before="40" w:after="40"/>
      </w:pPr>
      <w:r>
        <w:rPr>
          <w:rFonts w:ascii="Arial" w:cs="Arial" w:eastAsia="Arial" w:hAnsi="Arial"/>
          <w:color w:val="333333"/>
          <w:sz w:val="22"/>
          <w:szCs w:val="22"/>
        </w:rPr>
        <w:t xml:space="preserve">Recommandation des meilleures combinaisons parentales (algorithmes génétiques, XGBoost)</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2.2 Prédiction des traits des descendants</w:t>
      </w:r>
    </w:p>
    <w:p>
      <w:pPr>
        <w:pStyle w:val="ListParagraph"/>
        <w:numPr>
          <w:ilvl w:val="0"/>
          <w:numId w:val="2"/>
        </w:numPr>
        <w:spacing w:before="40" w:after="40"/>
      </w:pPr>
      <w:r>
        <w:rPr>
          <w:rFonts w:ascii="Arial" w:cs="Arial" w:eastAsia="Arial" w:hAnsi="Arial"/>
          <w:color w:val="333333"/>
          <w:sz w:val="22"/>
          <w:szCs w:val="22"/>
        </w:rPr>
        <w:t xml:space="preserve">Modélisation des relations génotype → phénotype</w:t>
      </w:r>
    </w:p>
    <w:p>
      <w:pPr>
        <w:pStyle w:val="ListParagraph"/>
        <w:numPr>
          <w:ilvl w:val="0"/>
          <w:numId w:val="2"/>
        </w:numPr>
        <w:spacing w:before="40" w:after="40"/>
      </w:pPr>
      <w:r>
        <w:rPr>
          <w:rFonts w:ascii="Arial" w:cs="Arial" w:eastAsia="Arial" w:hAnsi="Arial"/>
          <w:color w:val="333333"/>
          <w:sz w:val="22"/>
          <w:szCs w:val="22"/>
        </w:rPr>
        <w:t xml:space="preserve">Prédiction ML des traits phénotypiques des hybrides</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2.3 Système CRISPR — Recommandation de guide RNA</w:t>
      </w:r>
    </w:p>
    <w:p>
      <w:pPr>
        <w:pStyle w:val="ListParagraph"/>
        <w:numPr>
          <w:ilvl w:val="0"/>
          <w:numId w:val="2"/>
        </w:numPr>
        <w:spacing w:before="40" w:after="40"/>
      </w:pPr>
      <w:r>
        <w:rPr>
          <w:rFonts w:ascii="Arial" w:cs="Arial" w:eastAsia="Arial" w:hAnsi="Arial"/>
          <w:color w:val="333333"/>
          <w:sz w:val="22"/>
          <w:szCs w:val="22"/>
        </w:rPr>
        <w:t xml:space="preserve">Identification des gènes candidats pour les traits désirés</w:t>
      </w:r>
    </w:p>
    <w:p>
      <w:pPr>
        <w:pStyle w:val="ListParagraph"/>
        <w:numPr>
          <w:ilvl w:val="0"/>
          <w:numId w:val="2"/>
        </w:numPr>
        <w:spacing w:before="40" w:after="40"/>
      </w:pPr>
      <w:r>
        <w:rPr>
          <w:rFonts w:ascii="Arial" w:cs="Arial" w:eastAsia="Arial" w:hAnsi="Arial"/>
          <w:color w:val="333333"/>
          <w:sz w:val="22"/>
          <w:szCs w:val="22"/>
        </w:rPr>
        <w:t xml:space="preserve">Conception des guide RNA optimaux (CRISPRitz, FlashFry)</w:t>
      </w:r>
    </w:p>
    <w:p>
      <w:pPr>
        <w:pStyle w:val="ListParagraph"/>
        <w:numPr>
          <w:ilvl w:val="0"/>
          <w:numId w:val="2"/>
        </w:numPr>
        <w:spacing w:before="40" w:after="40"/>
      </w:pPr>
      <w:r>
        <w:rPr>
          <w:rFonts w:ascii="Arial" w:cs="Arial" w:eastAsia="Arial" w:hAnsi="Arial"/>
          <w:color w:val="333333"/>
          <w:sz w:val="22"/>
          <w:szCs w:val="22"/>
        </w:rPr>
        <w:t xml:space="preserve">Minimisation des effets hors-cible</w:t>
      </w:r>
    </w:p>
    <w:p>
      <w:pPr>
        <w:spacing w:before="60" w:after="60"/>
      </w:pPr>
      <w:r>
        <w:t xml:space="preserve"/>
      </w:r>
    </w:p>
    <w:p>
      <w:pPr>
        <w:pStyle w:val="Heading3"/>
        <w:spacing w:before="180" w:after="80"/>
      </w:pPr>
      <w:r>
        <w:rPr>
          <w:rFonts w:ascii="Arial" w:cs="Arial" w:eastAsia="Arial" w:hAnsi="Arial"/>
          <w:b/>
          <w:bCs/>
          <w:color w:val="1C3A4A"/>
          <w:sz w:val="24"/>
          <w:szCs w:val="24"/>
        </w:rPr>
        <w:t xml:space="preserve">2.4 Système de conformité éthique (Ethics Gate)</w:t>
      </w:r>
    </w:p>
    <w:p>
      <w:pPr>
        <w:pStyle w:val="ListParagraph"/>
        <w:numPr>
          <w:ilvl w:val="0"/>
          <w:numId w:val="2"/>
        </w:numPr>
        <w:spacing w:before="40" w:after="40"/>
      </w:pPr>
      <w:r>
        <w:rPr>
          <w:rFonts w:ascii="Arial" w:cs="Arial" w:eastAsia="Arial" w:hAnsi="Arial"/>
          <w:color w:val="333333"/>
          <w:sz w:val="22"/>
          <w:szCs w:val="22"/>
        </w:rPr>
        <w:t xml:space="preserve">Identification des modifications génomiques restreintes</w:t>
      </w:r>
    </w:p>
    <w:p>
      <w:pPr>
        <w:pStyle w:val="ListParagraph"/>
        <w:numPr>
          <w:ilvl w:val="0"/>
          <w:numId w:val="2"/>
        </w:numPr>
        <w:spacing w:before="40" w:after="40"/>
      </w:pPr>
      <w:r>
        <w:rPr>
          <w:rFonts w:ascii="Arial" w:cs="Arial" w:eastAsia="Arial" w:hAnsi="Arial"/>
          <w:color w:val="333333"/>
          <w:sz w:val="22"/>
          <w:szCs w:val="22"/>
        </w:rPr>
        <w:t xml:space="preserve">Vérification de la conformité réglementaire</w:t>
      </w:r>
    </w:p>
    <w:p>
      <w:pPr>
        <w:pStyle w:val="ListParagraph"/>
        <w:numPr>
          <w:ilvl w:val="0"/>
          <w:numId w:val="2"/>
        </w:numPr>
        <w:spacing w:before="40" w:after="40"/>
      </w:pPr>
      <w:r>
        <w:rPr>
          <w:rFonts w:ascii="Arial" w:cs="Arial" w:eastAsia="Arial" w:hAnsi="Arial"/>
          <w:color w:val="333333"/>
          <w:sz w:val="22"/>
          <w:szCs w:val="22"/>
        </w:rPr>
        <w:t xml:space="preserve">Aucune modification ne peut procéder sans validation humaine</w:t>
      </w:r>
    </w:p>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3 — Simulation après Modification Génétique</w:t>
      </w:r>
    </w:p>
    <w:p>
      <w:pPr>
        <w:spacing w:before="60" w:after="120"/>
      </w:pPr>
      <w:r>
        <w:rPr>
          <w:rFonts w:ascii="Arial" w:cs="Arial" w:eastAsia="Arial" w:hAnsi="Arial"/>
          <w:b w:val="false"/>
          <w:bCs w:val="false"/>
          <w:color w:val="000000"/>
          <w:sz w:val="22"/>
          <w:szCs w:val="22"/>
        </w:rPr>
        <w:t xml:space="preserve">Objectif : Simuler et prédire les effets phénotypiques des modifications géniques avant toute application réelle.</w:t>
      </w:r>
    </w:p>
    <w:p>
      <w:pPr>
        <w:pStyle w:val="ListParagraph"/>
        <w:numPr>
          <w:ilvl w:val="0"/>
          <w:numId w:val="2"/>
        </w:numPr>
        <w:spacing w:before="40" w:after="40"/>
      </w:pPr>
      <w:r>
        <w:rPr>
          <w:rFonts w:ascii="Arial" w:cs="Arial" w:eastAsia="Arial" w:hAnsi="Arial"/>
          <w:color w:val="333333"/>
          <w:sz w:val="22"/>
          <w:szCs w:val="22"/>
        </w:rPr>
        <w:t xml:space="preserve">Modélisation des interactions génotype → phénotype</w:t>
      </w:r>
    </w:p>
    <w:p>
      <w:pPr>
        <w:pStyle w:val="ListParagraph"/>
        <w:numPr>
          <w:ilvl w:val="0"/>
          <w:numId w:val="2"/>
        </w:numPr>
        <w:spacing w:before="40" w:after="40"/>
      </w:pPr>
      <w:r>
        <w:rPr>
          <w:rFonts w:ascii="Arial" w:cs="Arial" w:eastAsia="Arial" w:hAnsi="Arial"/>
          <w:color w:val="333333"/>
          <w:sz w:val="22"/>
          <w:szCs w:val="22"/>
        </w:rPr>
        <w:t xml:space="preserve">Prédiction de la croissance et des traits après édition génique</w:t>
      </w:r>
    </w:p>
    <w:p>
      <w:pPr>
        <w:pStyle w:val="ListParagraph"/>
        <w:numPr>
          <w:ilvl w:val="0"/>
          <w:numId w:val="2"/>
        </w:numPr>
        <w:spacing w:before="40" w:after="40"/>
      </w:pPr>
      <w:r>
        <w:rPr>
          <w:rFonts w:ascii="Arial" w:cs="Arial" w:eastAsia="Arial" w:hAnsi="Arial"/>
          <w:color w:val="333333"/>
          <w:sz w:val="22"/>
          <w:szCs w:val="22"/>
        </w:rPr>
        <w:t xml:space="preserve">Simulation des effets environnementaux sur les plantes modifiées</w:t>
      </w:r>
    </w:p>
    <w:p>
      <w:pPr>
        <w:pStyle w:val="ListParagraph"/>
        <w:numPr>
          <w:ilvl w:val="0"/>
          <w:numId w:val="2"/>
        </w:numPr>
        <w:spacing w:before="40" w:after="40"/>
      </w:pPr>
      <w:r>
        <w:rPr>
          <w:rFonts w:ascii="Arial" w:cs="Arial" w:eastAsia="Arial" w:hAnsi="Arial"/>
          <w:color w:val="333333"/>
          <w:sz w:val="22"/>
          <w:szCs w:val="22"/>
        </w:rPr>
        <w:t xml:space="preserve">Digital Twin de la plante modifiée</w:t>
      </w:r>
    </w:p>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4 — Assistance à la Rédaction Scientifique</w:t>
      </w:r>
    </w:p>
    <w:p>
      <w:pPr>
        <w:spacing w:before="60" w:after="120"/>
      </w:pPr>
      <w:r>
        <w:rPr>
          <w:rFonts w:ascii="Arial" w:cs="Arial" w:eastAsia="Arial" w:hAnsi="Arial"/>
          <w:b w:val="false"/>
          <w:bCs w:val="false"/>
          <w:color w:val="000000"/>
          <w:sz w:val="22"/>
          <w:szCs w:val="22"/>
        </w:rPr>
        <w:t xml:space="preserve">Objectif : Générer des rapports scientifiques structurés à partir des analyses génomiques.</w:t>
      </w:r>
    </w:p>
    <w:p>
      <w:pPr>
        <w:pStyle w:val="ListParagraph"/>
        <w:numPr>
          <w:ilvl w:val="0"/>
          <w:numId w:val="2"/>
        </w:numPr>
        <w:spacing w:before="40" w:after="40"/>
      </w:pPr>
      <w:r>
        <w:rPr>
          <w:rFonts w:ascii="Arial" w:cs="Arial" w:eastAsia="Arial" w:hAnsi="Arial"/>
          <w:color w:val="333333"/>
          <w:sz w:val="22"/>
          <w:szCs w:val="22"/>
        </w:rPr>
        <w:t xml:space="preserve">Extraction d'insights depuis les résultats d'analyse</w:t>
      </w:r>
    </w:p>
    <w:p>
      <w:pPr>
        <w:pStyle w:val="ListParagraph"/>
        <w:numPr>
          <w:ilvl w:val="0"/>
          <w:numId w:val="2"/>
        </w:numPr>
        <w:spacing w:before="40" w:after="40"/>
      </w:pPr>
      <w:r>
        <w:rPr>
          <w:rFonts w:ascii="Arial" w:cs="Arial" w:eastAsia="Arial" w:hAnsi="Arial"/>
          <w:color w:val="333333"/>
          <w:sz w:val="22"/>
          <w:szCs w:val="22"/>
        </w:rPr>
        <w:t xml:space="preserve">Génération de résumés scientifiques structurés (LLM)</w:t>
      </w:r>
    </w:p>
    <w:p>
      <w:pPr>
        <w:pStyle w:val="ListParagraph"/>
        <w:numPr>
          <w:ilvl w:val="0"/>
          <w:numId w:val="2"/>
        </w:numPr>
        <w:spacing w:before="40" w:after="40"/>
      </w:pPr>
      <w:r>
        <w:rPr>
          <w:rFonts w:ascii="Arial" w:cs="Arial" w:eastAsia="Arial" w:hAnsi="Arial"/>
          <w:color w:val="333333"/>
          <w:sz w:val="22"/>
          <w:szCs w:val="22"/>
        </w:rPr>
        <w:t xml:space="preserve">Assistance à la rédaction d'articles de recherche</w:t>
      </w:r>
    </w:p>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5 — Production de Protéines Thérapeutiques</w:t>
      </w:r>
    </w:p>
    <w:p>
      <w:pPr>
        <w:spacing w:before="60" w:after="120"/>
      </w:pPr>
      <w:r>
        <w:rPr>
          <w:rFonts w:ascii="Arial" w:cs="Arial" w:eastAsia="Arial" w:hAnsi="Arial"/>
          <w:b w:val="false"/>
          <w:bCs w:val="false"/>
          <w:color w:val="000000"/>
          <w:sz w:val="22"/>
          <w:szCs w:val="22"/>
        </w:rPr>
        <w:t xml:space="preserve">Objectif : Optimiser la production de protéines thérapeutiques à base végétale (insuline, antigènes HIV).</w:t>
      </w:r>
    </w:p>
    <w:p>
      <w:pPr>
        <w:pStyle w:val="ListParagraph"/>
        <w:numPr>
          <w:ilvl w:val="0"/>
          <w:numId w:val="2"/>
        </w:numPr>
        <w:spacing w:before="40" w:after="40"/>
      </w:pPr>
      <w:r>
        <w:rPr>
          <w:rFonts w:ascii="Arial" w:cs="Arial" w:eastAsia="Arial" w:hAnsi="Arial"/>
          <w:color w:val="333333"/>
          <w:sz w:val="22"/>
          <w:szCs w:val="22"/>
        </w:rPr>
        <w:t xml:space="preserve">Analyse des régions génomiques favorables à l'insertion génique</w:t>
      </w:r>
    </w:p>
    <w:p>
      <w:pPr>
        <w:pStyle w:val="ListParagraph"/>
        <w:numPr>
          <w:ilvl w:val="0"/>
          <w:numId w:val="2"/>
        </w:numPr>
        <w:spacing w:before="40" w:after="40"/>
      </w:pPr>
      <w:r>
        <w:rPr>
          <w:rFonts w:ascii="Arial" w:cs="Arial" w:eastAsia="Arial" w:hAnsi="Arial"/>
          <w:color w:val="333333"/>
          <w:sz w:val="22"/>
          <w:szCs w:val="22"/>
        </w:rPr>
        <w:t xml:space="preserve">Optimisation du codon usage pour l'expression en plante</w:t>
      </w:r>
    </w:p>
    <w:p>
      <w:pPr>
        <w:pStyle w:val="ListParagraph"/>
        <w:numPr>
          <w:ilvl w:val="0"/>
          <w:numId w:val="2"/>
        </w:numPr>
        <w:spacing w:before="40" w:after="40"/>
      </w:pPr>
      <w:r>
        <w:rPr>
          <w:rFonts w:ascii="Arial" w:cs="Arial" w:eastAsia="Arial" w:hAnsi="Arial"/>
          <w:color w:val="333333"/>
          <w:sz w:val="22"/>
          <w:szCs w:val="22"/>
        </w:rPr>
        <w:t xml:space="preserve">Prédiction du rendement en production de protéines</w:t>
      </w:r>
    </w:p>
    <w:p>
      <w:pPr>
        <w:pStyle w:val="ListParagraph"/>
        <w:numPr>
          <w:ilvl w:val="0"/>
          <w:numId w:val="2"/>
        </w:numPr>
        <w:spacing w:before="40" w:after="40"/>
      </w:pPr>
      <w:r>
        <w:rPr>
          <w:rFonts w:ascii="Arial" w:cs="Arial" w:eastAsia="Arial" w:hAnsi="Arial"/>
          <w:color w:val="333333"/>
          <w:sz w:val="22"/>
          <w:szCs w:val="22"/>
        </w:rPr>
        <w:t xml:space="preserve">Comparaison des stratégies d'ingénierie génétique alternatives</w:t>
      </w:r>
    </w:p>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6 — Détection d'Insectes par Acoustique</w:t>
      </w:r>
    </w:p>
    <w:p>
      <w:pPr>
        <w:spacing w:before="60" w:after="120"/>
      </w:pPr>
      <w:r>
        <w:rPr>
          <w:rFonts w:ascii="Arial" w:cs="Arial" w:eastAsia="Arial" w:hAnsi="Arial"/>
          <w:b w:val="false"/>
          <w:bCs w:val="false"/>
          <w:color w:val="000000"/>
          <w:sz w:val="22"/>
          <w:szCs w:val="22"/>
        </w:rPr>
        <w:t xml:space="preserve">Objectif : Détecter et classifier les insectes ravageurs via leurs signaux sonores, avant que les dégâts n'aient lieu.</w:t>
      </w:r>
    </w:p>
    <w:p>
      <w:pPr>
        <w:pStyle w:val="ListParagraph"/>
        <w:numPr>
          <w:ilvl w:val="0"/>
          <w:numId w:val="2"/>
        </w:numPr>
        <w:spacing w:before="40" w:after="40"/>
      </w:pPr>
      <w:r>
        <w:rPr>
          <w:rFonts w:ascii="Arial" w:cs="Arial" w:eastAsia="Arial" w:hAnsi="Arial"/>
          <w:color w:val="333333"/>
          <w:sz w:val="22"/>
          <w:szCs w:val="22"/>
        </w:rPr>
        <w:t xml:space="preserve">Conversion des signaux audio en spectrogrammes (librosa)</w:t>
      </w:r>
    </w:p>
    <w:p>
      <w:pPr>
        <w:pStyle w:val="ListParagraph"/>
        <w:numPr>
          <w:ilvl w:val="0"/>
          <w:numId w:val="2"/>
        </w:numPr>
        <w:spacing w:before="40" w:after="40"/>
      </w:pPr>
      <w:r>
        <w:rPr>
          <w:rFonts w:ascii="Arial" w:cs="Arial" w:eastAsia="Arial" w:hAnsi="Arial"/>
          <w:color w:val="333333"/>
          <w:sz w:val="22"/>
          <w:szCs w:val="22"/>
        </w:rPr>
        <w:t xml:space="preserve">Extraction de features acoustiques (MFCC, mel-spectrogram)</w:t>
      </w:r>
    </w:p>
    <w:p>
      <w:pPr>
        <w:pStyle w:val="ListParagraph"/>
        <w:numPr>
          <w:ilvl w:val="0"/>
          <w:numId w:val="2"/>
        </w:numPr>
        <w:spacing w:before="40" w:after="40"/>
      </w:pPr>
      <w:r>
        <w:rPr>
          <w:rFonts w:ascii="Arial" w:cs="Arial" w:eastAsia="Arial" w:hAnsi="Arial"/>
          <w:color w:val="333333"/>
          <w:sz w:val="22"/>
          <w:szCs w:val="22"/>
        </w:rPr>
        <w:t xml:space="preserve">Classification CNN par espèce d'insecte</w:t>
      </w:r>
    </w:p>
    <w:p>
      <w:pPr>
        <w:pStyle w:val="ListParagraph"/>
        <w:numPr>
          <w:ilvl w:val="0"/>
          <w:numId w:val="2"/>
        </w:numPr>
        <w:spacing w:before="40" w:after="40"/>
      </w:pPr>
      <w:r>
        <w:rPr>
          <w:rFonts w:ascii="Arial" w:cs="Arial" w:eastAsia="Arial" w:hAnsi="Arial"/>
          <w:color w:val="333333"/>
          <w:sz w:val="22"/>
          <w:szCs w:val="22"/>
        </w:rPr>
        <w:t xml:space="preserve">Système d'alertes intelligentes en temps réel</w:t>
      </w:r>
    </w:p>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7 — Assistant Multimodal Intelligent</w:t>
      </w:r>
    </w:p>
    <w:p>
      <w:pPr>
        <w:spacing w:before="60" w:after="120"/>
      </w:pPr>
      <w:r>
        <w:rPr>
          <w:rFonts w:ascii="Arial" w:cs="Arial" w:eastAsia="Arial" w:hAnsi="Arial"/>
          <w:b w:val="false"/>
          <w:bCs w:val="false"/>
          <w:color w:val="000000"/>
          <w:sz w:val="22"/>
          <w:szCs w:val="22"/>
        </w:rPr>
        <w:t xml:space="preserve">Objectif : Fournir un assistant IA accessible aux chercheurs et agriculteurs, combinant voix, image et données génomiques.</w:t>
      </w:r>
    </w:p>
    <w:p>
      <w:pPr>
        <w:pStyle w:val="ListParagraph"/>
        <w:numPr>
          <w:ilvl w:val="0"/>
          <w:numId w:val="2"/>
        </w:numPr>
        <w:spacing w:before="40" w:after="40"/>
      </w:pPr>
      <w:r>
        <w:rPr>
          <w:rFonts w:ascii="Arial" w:cs="Arial" w:eastAsia="Arial" w:hAnsi="Arial"/>
          <w:color w:val="333333"/>
          <w:sz w:val="22"/>
          <w:szCs w:val="22"/>
        </w:rPr>
        <w:t xml:space="preserve">Reconnaissance vocale multilingue (Whisper)</w:t>
      </w:r>
    </w:p>
    <w:p>
      <w:pPr>
        <w:pStyle w:val="ListParagraph"/>
        <w:numPr>
          <w:ilvl w:val="0"/>
          <w:numId w:val="2"/>
        </w:numPr>
        <w:spacing w:before="40" w:after="40"/>
      </w:pPr>
      <w:r>
        <w:rPr>
          <w:rFonts w:ascii="Arial" w:cs="Arial" w:eastAsia="Arial" w:hAnsi="Arial"/>
          <w:color w:val="333333"/>
          <w:sz w:val="22"/>
          <w:szCs w:val="22"/>
        </w:rPr>
        <w:t xml:space="preserve">Extraction d'intention utilisateur (NLP)</w:t>
      </w:r>
    </w:p>
    <w:p>
      <w:pPr>
        <w:pStyle w:val="ListParagraph"/>
        <w:numPr>
          <w:ilvl w:val="0"/>
          <w:numId w:val="2"/>
        </w:numPr>
        <w:spacing w:before="40" w:after="40"/>
      </w:pPr>
      <w:r>
        <w:rPr>
          <w:rFonts w:ascii="Arial" w:cs="Arial" w:eastAsia="Arial" w:hAnsi="Arial"/>
          <w:color w:val="333333"/>
          <w:sz w:val="22"/>
          <w:szCs w:val="22"/>
        </w:rPr>
        <w:t xml:space="preserve">Système RAG sur base de connaissances scientifiques (LangChain + FAISS)</w:t>
      </w:r>
    </w:p>
    <w:p>
      <w:pPr>
        <w:pStyle w:val="ListParagraph"/>
        <w:numPr>
          <w:ilvl w:val="0"/>
          <w:numId w:val="2"/>
        </w:numPr>
        <w:spacing w:before="40" w:after="40"/>
      </w:pPr>
      <w:r>
        <w:rPr>
          <w:rFonts w:ascii="Arial" w:cs="Arial" w:eastAsia="Arial" w:hAnsi="Arial"/>
          <w:color w:val="333333"/>
          <w:sz w:val="22"/>
          <w:szCs w:val="22"/>
        </w:rPr>
        <w:t xml:space="preserve">Diagnostic visuel des maladies végétales (CNN sur PlantVillage)</w:t>
      </w:r>
    </w:p>
    <w:p>
      <w:pPr>
        <w:pStyle w:val="ListParagraph"/>
        <w:numPr>
          <w:ilvl w:val="0"/>
          <w:numId w:val="2"/>
        </w:numPr>
        <w:spacing w:before="40" w:after="40"/>
      </w:pPr>
      <w:r>
        <w:rPr>
          <w:rFonts w:ascii="Arial" w:cs="Arial" w:eastAsia="Arial" w:hAnsi="Arial"/>
          <w:color w:val="333333"/>
          <w:sz w:val="22"/>
          <w:szCs w:val="22"/>
        </w:rPr>
        <w:t xml:space="preserve">Alertes SMS pour agriculteurs sans interface numérique</w:t>
      </w:r>
    </w:p>
    <w:p>
      <w:pPr>
        <w:spacing w:before="60" w:after="60"/>
      </w:pPr>
      <w:r>
        <w:t xml:space="preserve"/>
      </w:r>
    </w:p>
    <w:p>
      <w:pPr>
        <w:spacing w:before="60" w:after="60"/>
      </w:pPr>
      <w:r>
        <w:t xml:space="preserve"/>
      </w:r>
    </w:p>
    <w:p>
      <w:r>
        <w:br w:type="pag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Proposition de Solution Technique</w:t>
      </w:r>
    </w:p>
    <w:p>
      <w:pPr>
        <w:spacing w:before="60" w:after="60"/>
      </w:pPr>
      <w:r>
        <w:t xml:space="preserve"/>
      </w:r>
    </w:p>
    <w:p>
      <w:pPr>
        <w:spacing w:before="60" w:after="160"/>
      </w:pPr>
      <w:r>
        <w:rPr>
          <w:rFonts w:ascii="Arial" w:cs="Arial" w:eastAsia="Arial" w:hAnsi="Arial"/>
          <w:b w:val="false"/>
          <w:bCs w:val="false"/>
          <w:color w:val="000000"/>
          <w:sz w:val="22"/>
          <w:szCs w:val="22"/>
        </w:rPr>
        <w:t xml:space="preserve">Sur la base de l'analyse de l'arbre d'objectifs et des outils listés dans le fichier docx, voici l'architecture technique complète de la plateforme Plant DNA Intelligence.</w:t>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Architecture Globale de la Plateforme</w:t>
      </w:r>
    </w:p>
    <w:p>
      <w:pPr>
        <w:spacing w:before="60" w:after="120"/>
      </w:pPr>
      <w:r>
        <w:rPr>
          <w:rFonts w:ascii="Arial" w:cs="Arial" w:eastAsia="Arial" w:hAnsi="Arial"/>
          <w:b w:val="false"/>
          <w:bCs w:val="false"/>
          <w:color w:val="000000"/>
          <w:sz w:val="22"/>
          <w:szCs w:val="22"/>
        </w:rPr>
        <w:t xml:space="preserve">La plateforme est conçue selon une pipeline unifiée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DD" w:sz="1"/>
              <w:left w:val="single" w:color="CCDDDD" w:sz="1"/>
              <w:bottom w:val="single" w:color="CCDDDD" w:sz="1"/>
              <w:right w:val="single" w:color="CCDDDD" w:sz="1"/>
            </w:tcBorders>
            <w:shd w:fill="E0F0F4" w:val="clear"/>
            <w:tcMar>
              <w:top w:type="dxa" w:w="120"/>
              <w:left w:type="dxa" w:w="200"/>
              <w:bottom w:type="dxa" w:w="120"/>
              <w:right w:type="dxa" w:w="200"/>
            </w:tcMar>
          </w:tcPr>
          <w:p>
            <w:r>
              <w:rPr>
                <w:rFonts w:ascii="Arial" w:cs="Arial" w:eastAsia="Arial" w:hAnsi="Arial"/>
                <w:b/>
                <w:bCs/>
                <w:color w:val="1A6B7A"/>
                <w:sz w:val="22"/>
                <w:szCs w:val="22"/>
              </w:rPr>
              <w:t xml:space="preserve">Pipeline centrale</w:t>
            </w:r>
          </w:p>
          <w:p>
            <w:r>
              <w:rPr>
                <w:rFonts w:ascii="Arial" w:cs="Arial" w:eastAsia="Arial" w:hAnsi="Arial"/>
                <w:color w:val="444444"/>
                <w:sz w:val="20"/>
                <w:szCs w:val="20"/>
              </w:rPr>
              <w:t xml:space="preserve">ADN brut → Encodage → Classification → Prédiction → Optimisation → Simulation → Recommandation → Génération de connaissances</w:t>
            </w:r>
          </w:p>
        </w:tc>
      </w:tr>
    </w:tbl>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1 — DNA Intelligence and Analysis : Stack Technique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Outil / Bibliothèque</w:t>
            </w:r>
          </w:p>
        </w:tc>
        <w:tc>
          <w:tcPr>
            <w:tcW w:type="dxa" w:w="23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Source de données</w:t>
            </w:r>
          </w:p>
        </w:tc>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Encodage ADN</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Biopython, scikit-bio</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NCBI GenBank, Ensembl Plants, Phytozome</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K-mer, one-hot encoding</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Empreinte génétique</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scikit-learn (KMeans, PCA)</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NCBI GenBank, BOLD Systems</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Clustering variétés</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Classification espèce</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PyTorch / Transformers (DNABERT)</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NCBI Taxonomy, BOLD Systems</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Modèle de classification ADN</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Moteur de recherche</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FAISS, Bio.Blast (Biopython)</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BLAST NCBI, NCBI FTP</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Similarité vectorielle + BLAST</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Embeddings ADN</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DNABERT, ESM (HuggingFace)</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Phytozome, Ensembl Plants</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Représentation vectorielle</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Support décisionnel</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XGBoost, scikit-learn</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Gramene, TAIR</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Inférence de traits</w:t>
            </w:r>
          </w:p>
        </w:tc>
      </w:tr>
    </w:tbl>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2 — Genetic Improvement : Stack Technique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Outil / Bibliothèque</w:t>
            </w:r>
          </w:p>
        </w:tc>
        <w:tc>
          <w:tcPr>
            <w:tcW w:type="dxa" w:w="23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Source de données</w:t>
            </w:r>
          </w:p>
        </w:tc>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Recommandation hybridation</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XGBoost, DEAP (algorithme génétique)</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Gramene, TRY-DB, TAIR</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Prédiction traits descendants</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Guide RNA CRISPR</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CRISPRitz, FlashFry</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CRISPR-P, CHOPCHOP, CRISPRCas DB</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Design guide RNA optimal</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Conformité éthique</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Règles métier + LLM validation</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Règlements UE/Tunisie</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Ethics Gate obligatoire</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Scoring biosécurité</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Modèle de scoring custom</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Base réglementaire</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Risque off-target</w:t>
            </w:r>
          </w:p>
        </w:tc>
      </w:tr>
    </w:tbl>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3 — Simulation : Stack Technique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Outil / Bibliothèque</w:t>
            </w:r>
          </w:p>
        </w:tc>
        <w:tc>
          <w:tcPr>
            <w:tcW w:type="dxa" w:w="23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Source de données</w:t>
            </w:r>
          </w:p>
        </w:tc>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Réseaux de régulation</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NetworkX, PyTorch</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 Ontology, STRING DB</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Modélisation interactions</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Digital Twin</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PyTorch (GNN)</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STRING DB, Gene Ontology</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Simulation phénotypique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Effets environnementaux</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scikit-learn, XGBoost</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Données climatiques (ERA5)</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Prédiction impact climatique</w:t>
            </w:r>
          </w:p>
        </w:tc>
      </w:tr>
    </w:tbl>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4 — Rédaction Scientifique : Stack Technique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Outil / Bibliothèque</w:t>
            </w:r>
          </w:p>
        </w:tc>
        <w:tc>
          <w:tcPr>
            <w:tcW w:type="dxa" w:w="23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Source de données</w:t>
            </w:r>
          </w:p>
        </w:tc>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génération texte</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llama.cpp / HuggingFace Transformers</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PubMed, Semantic Scholar, Europe PMC</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Draft articles scientifiques</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RAG (Retrieval)</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LangChain + FAISS</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PubMed, bases internes</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Récupération contexte pertinent</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Structuration</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LangChain chains</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Résultats analyse interne</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Mise en forme académique</w:t>
            </w:r>
          </w:p>
        </w:tc>
      </w:tr>
    </w:tbl>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5 — Protéines Thérapeutiques : Stack Technique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Outil / Bibliothèque</w:t>
            </w:r>
          </w:p>
        </w:tc>
        <w:tc>
          <w:tcPr>
            <w:tcW w:type="dxa" w:w="23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Source de données</w:t>
            </w:r>
          </w:p>
        </w:tc>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Optimisation codon</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dnachisel (Python)</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Codon Usage DB (Kazusa)</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Adaptation codon plante</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Séquences protéiques</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Biopython, UniProt API</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UniProt, Protein Data Bank</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Protéines cibles (insuline...)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Prédiction expression</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scikit-learn, XGBoost</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NCBI, UniProt</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Rendement prédit</w:t>
            </w:r>
          </w:p>
        </w:tc>
      </w:tr>
    </w:tbl>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6 — Détection Insectes Acoustique : Stack Technique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Outil / Bibliothèque</w:t>
            </w:r>
          </w:p>
        </w:tc>
        <w:tc>
          <w:tcPr>
            <w:tcW w:type="dxa" w:w="23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Source de données</w:t>
            </w:r>
          </w:p>
        </w:tc>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Traitement audio</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librosa</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Kaggle bioacoustics, Xeno-canto</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Extraction MFCC, spectrogramme</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Classification CNN</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PyTorch (CNN)</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Orthoptera Species File, Kaggle</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Identification espèce insecte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Alertes temps réel</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Streamlit + SMS API</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Capteurs terrain</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Alerte ravageurs précoce</w:t>
            </w:r>
          </w:p>
        </w:tc>
      </w:tr>
    </w:tbl>
    <w:p>
      <w:pPr>
        <w:spacing w:before="60" w:after="60"/>
      </w:pPr>
      <w:r>
        <w:t xml:space="preserve"/>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Module 7 — Assistant Multimodal : Stack Technique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Outil / Bibliothèque</w:t>
            </w:r>
          </w:p>
        </w:tc>
        <w:tc>
          <w:tcPr>
            <w:tcW w:type="dxa" w:w="23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Source de données</w:t>
            </w:r>
          </w:p>
        </w:tc>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Reconnaissance vocale</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Whisper (OpenAI)</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Audio utilisateur</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Speech-to-Text multilingue</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LLM conversationnel</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llama.cpp / HuggingFace</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Base connaissances interne</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Réponses intelligentes</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Base vectorielle RAG</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FAISS + LangChain</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PubMed, Gramene, résultats plateforme</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Contexte scientifique</w:t>
            </w:r>
          </w:p>
        </w:tc>
      </w:tr>
      <w:tr>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Diagnostic maladie</w:t>
            </w:r>
          </w:p>
        </w:tc>
        <w:tc>
          <w:tcPr>
            <w:tcW w:type="dxa" w:w="2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PyTorch CNN</w:t>
            </w:r>
          </w:p>
        </w:tc>
        <w:tc>
          <w:tcPr>
            <w:tcW w:type="dxa" w:w="2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PlantVillage Dataset (Kaggle)</w:t>
            </w:r>
          </w:p>
        </w:tc>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Détection maladies foliaires</w:t>
            </w:r>
          </w:p>
        </w:tc>
      </w:tr>
      <w:tr>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Interface</w:t>
            </w:r>
          </w:p>
        </w:tc>
        <w:tc>
          <w:tcPr>
            <w:tcW w:type="dxa" w:w="2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Streamlit</w:t>
            </w:r>
          </w:p>
        </w:tc>
        <w:tc>
          <w:tcPr>
            <w:tcW w:type="dxa" w:w="2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 mobile + SMS</w:t>
            </w:r>
          </w:p>
        </w:tc>
      </w:tr>
    </w:tbl>
    <w:p>
      <w:pPr>
        <w:spacing w:before="60" w:after="60"/>
      </w:pPr>
      <w:r>
        <w:t xml:space="preserve"/>
      </w:r>
    </w:p>
    <w:p>
      <w:pPr>
        <w:spacing w:before="60" w:after="60"/>
      </w:pPr>
      <w:r>
        <w:t xml:space="preserve"/>
      </w:r>
    </w:p>
    <w:p>
      <w:r>
        <w:br w:type="pag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Stack Python Complet Recommandé</w:t>
      </w:r>
    </w:p>
    <w:p>
      <w:pPr>
        <w:spacing w:before="60" w:after="60"/>
      </w:pPr>
      <w:r>
        <w:t xml:space="preserve"/>
      </w:r>
    </w:p>
    <w:p>
      <w:pPr>
        <w:spacing w:before="60" w:after="120"/>
      </w:pPr>
      <w:r>
        <w:rPr>
          <w:rFonts w:ascii="Arial" w:cs="Arial" w:eastAsia="Arial" w:hAnsi="Arial"/>
          <w:b w:val="false"/>
          <w:bCs w:val="false"/>
          <w:color w:val="000000"/>
          <w:sz w:val="22"/>
          <w:szCs w:val="22"/>
        </w:rPr>
        <w:t xml:space="preserve">Voici le stack Python complet, issu du fichier de spécifications, organisé par domaine fonctionnel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DDDD" w:sz="1"/>
              <w:left w:val="single" w:color="CCDDDD" w:sz="1"/>
              <w:bottom w:val="single" w:color="CCDDDD" w:sz="1"/>
              <w:right w:val="single" w:color="CCDDDD" w:sz="1"/>
            </w:tcBorders>
            <w:shd w:fill="1C3A4A" w:val="clear"/>
            <w:tcMar>
              <w:top w:type="dxa" w:w="100"/>
              <w:left w:type="dxa" w:w="120"/>
              <w:bottom w:type="dxa" w:w="100"/>
              <w:right w:type="dxa" w:w="120"/>
            </w:tcMar>
          </w:tcPr>
          <w:p>
            <w:r>
              <w:rPr>
                <w:rFonts w:ascii="Arial" w:cs="Arial" w:eastAsia="Arial" w:hAnsi="Arial"/>
                <w:b/>
                <w:bCs/>
                <w:color w:val="FFFFFF"/>
                <w:sz w:val="20"/>
                <w:szCs w:val="20"/>
              </w:rPr>
              <w:t xml:space="preserve">Domaine</w:t>
            </w:r>
          </w:p>
        </w:tc>
        <w:tc>
          <w:tcPr>
            <w:tcW w:type="dxa" w:w="3000"/>
            <w:tcBorders>
              <w:top w:val="single" w:color="CCDDDD" w:sz="1"/>
              <w:left w:val="single" w:color="CCDDDD" w:sz="1"/>
              <w:bottom w:val="single" w:color="CCDDDD" w:sz="1"/>
              <w:right w:val="single" w:color="CCDDDD" w:sz="1"/>
            </w:tcBorders>
            <w:shd w:fill="1C3A4A" w:val="clear"/>
            <w:tcMar>
              <w:top w:type="dxa" w:w="100"/>
              <w:left w:type="dxa" w:w="120"/>
              <w:bottom w:type="dxa" w:w="100"/>
              <w:right w:type="dxa" w:w="120"/>
            </w:tcMar>
          </w:tcPr>
          <w:p>
            <w:r>
              <w:rPr>
                <w:rFonts w:ascii="Arial" w:cs="Arial" w:eastAsia="Arial" w:hAnsi="Arial"/>
                <w:b/>
                <w:bCs/>
                <w:color w:val="FFFFFF"/>
                <w:sz w:val="20"/>
                <w:szCs w:val="20"/>
              </w:rPr>
              <w:t xml:space="preserve">Bibliothèques Python</w:t>
            </w:r>
          </w:p>
        </w:tc>
        <w:tc>
          <w:tcPr>
            <w:tcW w:type="dxa" w:w="3360"/>
            <w:tcBorders>
              <w:top w:val="single" w:color="CCDDDD" w:sz="1"/>
              <w:left w:val="single" w:color="CCDDDD" w:sz="1"/>
              <w:bottom w:val="single" w:color="CCDDDD" w:sz="1"/>
              <w:right w:val="single" w:color="CCDDDD" w:sz="1"/>
            </w:tcBorders>
            <w:shd w:fill="1C3A4A"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Bioinformatique</w:t>
            </w:r>
          </w:p>
        </w:tc>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Biopython, scikit-bio</w:t>
            </w:r>
          </w:p>
        </w:tc>
        <w:tc>
          <w:tcPr>
            <w:tcW w:type="dxa" w:w="3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Parsing FASTA, BLAST, séquences</w:t>
            </w:r>
          </w:p>
        </w:tc>
      </w:tr>
      <w:tr>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Machine Learning</w:t>
            </w:r>
          </w:p>
        </w:tc>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scikit-learn, XGBoost, DEAP</w:t>
            </w:r>
          </w:p>
        </w:tc>
        <w:tc>
          <w:tcPr>
            <w:tcW w:type="dxa" w:w="3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Classification, régression, algorithmes génétiques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Deep Learning</w:t>
            </w:r>
          </w:p>
        </w:tc>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PyTorch, Transformers (HuggingFace)</w:t>
            </w:r>
          </w:p>
        </w:tc>
        <w:tc>
          <w:tcPr>
            <w:tcW w:type="dxa" w:w="3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CNN, DNABERT, ESM, LSTM</w:t>
            </w:r>
          </w:p>
        </w:tc>
      </w:tr>
      <w:tr>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Recherche vectorielle</w:t>
            </w:r>
          </w:p>
        </w:tc>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FAISS</w:t>
            </w:r>
          </w:p>
        </w:tc>
        <w:tc>
          <w:tcPr>
            <w:tcW w:type="dxa" w:w="3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Indexation et similarité d'embeddings ADN</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Traitement audio</w:t>
            </w:r>
          </w:p>
        </w:tc>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librosa</w:t>
            </w:r>
          </w:p>
        </w:tc>
        <w:tc>
          <w:tcPr>
            <w:tcW w:type="dxa" w:w="3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Spectrogrammes, MFCC, détection insectes</w:t>
            </w:r>
          </w:p>
        </w:tc>
      </w:tr>
      <w:tr>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LLM &amp; RAG</w:t>
            </w:r>
          </w:p>
        </w:tc>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LangChain, llama.cpp</w:t>
            </w:r>
          </w:p>
        </w:tc>
        <w:tc>
          <w:tcPr>
            <w:tcW w:type="dxa" w:w="3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Assistant conversationnel, génération articles</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Optimisation ADN</w:t>
            </w:r>
          </w:p>
        </w:tc>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dnachisel</w:t>
            </w:r>
          </w:p>
        </w:tc>
        <w:tc>
          <w:tcPr>
            <w:tcW w:type="dxa" w:w="3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Optimisation codon usage pour expression</w:t>
            </w:r>
          </w:p>
        </w:tc>
      </w:tr>
      <w:tr>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Infrastructure cloud</w:t>
            </w:r>
          </w:p>
        </w:tc>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Google Cloud, AWS (boto3)</w:t>
            </w:r>
          </w:p>
        </w:tc>
        <w:tc>
          <w:tcPr>
            <w:tcW w:type="dxa" w:w="3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Stockage, GPU, calcul distribué</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Interface</w:t>
            </w:r>
          </w:p>
        </w:tc>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Streamlit</w:t>
            </w:r>
          </w:p>
        </w:tc>
        <w:tc>
          <w:tcPr>
            <w:tcW w:type="dxa" w:w="33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app researchers &amp; farmers</w:t>
            </w:r>
          </w:p>
        </w:tc>
      </w:tr>
      <w:tr>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CRISPR Design</w:t>
            </w:r>
          </w:p>
        </w:tc>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crispritz, flashfry</w:t>
            </w:r>
          </w:p>
        </w:tc>
        <w:tc>
          <w:tcPr>
            <w:tcW w:type="dxa" w:w="33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Guide RNA, analyse off-target</w:t>
            </w:r>
          </w:p>
        </w:tc>
      </w:tr>
    </w:tbl>
    <w:p>
      <w:pPr>
        <w:spacing w:before="60" w:after="60"/>
      </w:pPr>
      <w:r>
        <w:t xml:space="preserve"/>
      </w:r>
    </w:p>
    <w:p>
      <w:pPr>
        <w:spacing w:before="60" w:after="60"/>
      </w:pPr>
      <w:r>
        <w:t xml:space="preserve"/>
      </w:r>
    </w:p>
    <w:p>
      <w:r>
        <w:br w:type="pag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Sources de Données Recommandées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35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Base de données</w:t>
            </w:r>
          </w:p>
        </w:tc>
        <w:tc>
          <w:tcPr>
            <w:tcW w:type="dxa" w:w="386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URL</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ADN &amp; Génomique</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NCBI GenBank</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ncbi.nlm.nih.gov/genbank</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ADN &amp; Génomique</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Ensembl Plants</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plants.ensembl.org</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ADN &amp; Génomique</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Phytozome</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phytozome-next.jgi.doe.gov</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ADN &amp; Génomique</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BOLD Systems (barcodes)</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boldsystems.org</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Traits végétaux</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Gramene</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gramene.org</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Traits végétaux</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TRY-DB</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try-db.org</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Traits végétaux</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TAIR (Arabidopsis)</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arabidopsis.org</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CRISPR</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CRISPR-P / CHOPCHOP</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crispr.hzau.edu.cn / chopchop.cbu.uib.no</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Génomique réseau</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 Ontology</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geneontology.org</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Génomique réseau</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STRING DB</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string-db.org</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Protéines</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UniProt</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uniprot.org</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Protéines</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Protein Data Bank</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rcsb.org</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Protéines</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Codon Usage DB</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kazusa.or.jp/codon</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Insectes acoustique</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Xeno-canto</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xeno-canto.org</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Insectes acoustique</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Kaggle bioacoustics</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kaggle.com</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Maladies végétales</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PlantVillage (Kaggle)</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kaggle.com/datasets/emmarex/plantdisease</w:t>
            </w:r>
          </w:p>
        </w:tc>
      </w:tr>
      <w:tr>
        <w:tc>
          <w:tcPr>
            <w:tcW w:type="dxa" w:w="2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Littérature</w:t>
            </w:r>
          </w:p>
        </w:tc>
        <w:tc>
          <w:tcPr>
            <w:tcW w:type="dxa" w:w="35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PubMed</w:t>
            </w:r>
          </w:p>
        </w:tc>
        <w:tc>
          <w:tcPr>
            <w:tcW w:type="dxa" w:w="386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pubmed.ncbi.nlm.nih.gov</w:t>
            </w:r>
          </w:p>
        </w:tc>
      </w:tr>
      <w:tr>
        <w:tc>
          <w:tcPr>
            <w:tcW w:type="dxa" w:w="2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Littérature</w:t>
            </w:r>
          </w:p>
        </w:tc>
        <w:tc>
          <w:tcPr>
            <w:tcW w:type="dxa" w:w="35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Semantic Scholar</w:t>
            </w:r>
          </w:p>
        </w:tc>
        <w:tc>
          <w:tcPr>
            <w:tcW w:type="dxa" w:w="386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semanticscholar.org</w:t>
            </w:r>
          </w:p>
        </w:tc>
      </w:tr>
    </w:tbl>
    <w:p>
      <w:pPr>
        <w:spacing w:before="60" w:after="60"/>
      </w:pPr>
      <w:r>
        <w:t xml:space="preserve"/>
      </w:r>
    </w:p>
    <w:p>
      <w:pPr>
        <w:spacing w:before="60" w:after="60"/>
      </w:pPr>
      <w:r>
        <w:t xml:space="preserve"/>
      </w:r>
    </w:p>
    <w:p>
      <w:r>
        <w:br w:type="pag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Plantes Cibles Prioritaires</w:t>
      </w:r>
    </w:p>
    <w:p>
      <w:pPr>
        <w:spacing w:before="60" w:after="60"/>
      </w:pPr>
      <w:r>
        <w:t xml:space="preserve"/>
      </w:r>
    </w:p>
    <w:p>
      <w:pPr>
        <w:spacing w:before="60" w:after="120"/>
      </w:pPr>
      <w:r>
        <w:rPr>
          <w:rFonts w:ascii="Arial" w:cs="Arial" w:eastAsia="Arial" w:hAnsi="Arial"/>
          <w:b w:val="false"/>
          <w:bCs w:val="false"/>
          <w:color w:val="000000"/>
          <w:sz w:val="22"/>
          <w:szCs w:val="22"/>
        </w:rPr>
        <w:t xml:space="preserve">Le choix des plantes est stratégique : elles doivent couvrir à la fois les besoins scientifiques (données abondantes) et les enjeux locaux tunisiens.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Plante</w:t>
            </w:r>
          </w:p>
        </w:tc>
        <w:tc>
          <w:tcPr>
            <w:tcW w:type="dxa" w:w="318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Pourquoi prioritaire</w:t>
            </w:r>
          </w:p>
        </w:tc>
        <w:tc>
          <w:tcPr>
            <w:tcW w:type="dxa" w:w="3180"/>
            <w:tcBorders>
              <w:top w:val="single" w:color="CCDDDD" w:sz="1"/>
              <w:left w:val="single" w:color="CCDDDD" w:sz="1"/>
              <w:bottom w:val="single" w:color="CCDDDD" w:sz="1"/>
              <w:right w:val="single" w:color="CCDDDD" w:sz="1"/>
            </w:tcBorders>
            <w:shd w:fill="1A6B7A" w:val="clear"/>
            <w:tcMar>
              <w:top w:type="dxa" w:w="100"/>
              <w:left w:type="dxa" w:w="120"/>
              <w:bottom w:type="dxa" w:w="100"/>
              <w:right w:type="dxa" w:w="120"/>
            </w:tcMar>
          </w:tcPr>
          <w:p>
            <w:r>
              <w:rPr>
                <w:rFonts w:ascii="Arial" w:cs="Arial" w:eastAsia="Arial" w:hAnsi="Arial"/>
                <w:b/>
                <w:bCs/>
                <w:color w:val="FFFFFF"/>
                <w:sz w:val="20"/>
                <w:szCs w:val="20"/>
              </w:rPr>
              <w:t xml:space="preserve">Pertinence Tunisie</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Arabidopsis thaliana</w:t>
            </w:r>
          </w:p>
        </w:tc>
        <w:tc>
          <w:tcPr>
            <w:tcW w:type="dxa" w:w="318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Génome le plus étudié au monde</w:t>
            </w:r>
          </w:p>
        </w:tc>
        <w:tc>
          <w:tcPr>
            <w:tcW w:type="dxa" w:w="318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Référence scientifique universelle</w:t>
            </w:r>
          </w:p>
        </w:tc>
      </w:tr>
      <w:tr>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Riz (Oryza sativa)</w:t>
            </w:r>
          </w:p>
        </w:tc>
        <w:tc>
          <w:tcPr>
            <w:tcW w:type="dxa" w:w="318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Nombreux datasets agricoles ML</w:t>
            </w:r>
          </w:p>
        </w:tc>
        <w:tc>
          <w:tcPr>
            <w:tcW w:type="dxa" w:w="318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Culture alimentaire critique</w:t>
            </w:r>
          </w:p>
        </w:tc>
      </w:tr>
      <w:tr>
        <w:tc>
          <w:tcPr>
            <w:tcW w:type="dxa" w:w="300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Maïs (Zea mays)</w:t>
            </w:r>
          </w:p>
        </w:tc>
        <w:tc>
          <w:tcPr>
            <w:tcW w:type="dxa" w:w="318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Bases de traits très riches</w:t>
            </w:r>
          </w:p>
        </w:tc>
        <w:tc>
          <w:tcPr>
            <w:tcW w:type="dxa" w:w="3180"/>
            <w:tcBorders>
              <w:top w:val="single" w:color="CCDDDD" w:sz="1"/>
              <w:left w:val="single" w:color="CCDDDD" w:sz="1"/>
              <w:bottom w:val="single" w:color="CCDDDD" w:sz="1"/>
              <w:right w:val="single" w:color="CC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Sécurité alimentaire</w:t>
            </w:r>
          </w:p>
        </w:tc>
      </w:tr>
      <w:tr>
        <w:tc>
          <w:tcPr>
            <w:tcW w:type="dxa" w:w="300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Palmier dattier (Phoenix dactylifera)</w:t>
            </w:r>
          </w:p>
        </w:tc>
        <w:tc>
          <w:tcPr>
            <w:tcW w:type="dxa" w:w="318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Pertinent IRA + Tunisie</w:t>
            </w:r>
          </w:p>
        </w:tc>
        <w:tc>
          <w:tcPr>
            <w:tcW w:type="dxa" w:w="3180"/>
            <w:tcBorders>
              <w:top w:val="single" w:color="CCDDDD" w:sz="1"/>
              <w:left w:val="single" w:color="CCDDDD" w:sz="1"/>
              <w:bottom w:val="single" w:color="CCDDDD" w:sz="1"/>
              <w:right w:val="single" w:color="CCDDDD" w:sz="1"/>
            </w:tcBorders>
            <w:shd w:fill="E8F4F6" w:val="clear"/>
            <w:tcMar>
              <w:top w:type="dxa" w:w="80"/>
              <w:left w:type="dxa" w:w="120"/>
              <w:bottom w:type="dxa" w:w="80"/>
              <w:right w:type="dxa" w:w="120"/>
            </w:tcMar>
          </w:tcPr>
          <w:p>
            <w:r>
              <w:rPr>
                <w:rFonts w:ascii="Arial" w:cs="Arial" w:eastAsia="Arial" w:hAnsi="Arial"/>
                <w:color w:val="222222"/>
                <w:sz w:val="20"/>
                <w:szCs w:val="20"/>
              </w:rPr>
              <w:t xml:space="preserve">Culture phare de l'agriculture tunisienne</w:t>
            </w:r>
          </w:p>
        </w:tc>
      </w:tr>
    </w:tbl>
    <w:p>
      <w:pPr>
        <w:spacing w:before="60" w:after="60"/>
      </w:pPr>
      <w:r>
        <w:t xml:space="preserve"/>
      </w:r>
    </w:p>
    <w:p>
      <w:pPr>
        <w:spacing w:before="60" w:after="60"/>
      </w:pPr>
      <w:r>
        <w:t xml:space="preserve"/>
      </w:r>
    </w:p>
    <w:p>
      <w:r>
        <w:br w:type="pag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Gouvernance Éthique &amp; Conformité</w:t>
      </w:r>
    </w:p>
    <w:p>
      <w:pPr>
        <w:spacing w:before="60" w:after="60"/>
      </w:pPr>
      <w:r>
        <w:t xml:space="preserve"/>
      </w:r>
    </w:p>
    <w:p>
      <w:pPr>
        <w:spacing w:before="60" w:after="160"/>
      </w:pPr>
      <w:r>
        <w:rPr>
          <w:rFonts w:ascii="Arial" w:cs="Arial" w:eastAsia="Arial" w:hAnsi="Arial"/>
          <w:b/>
          <w:bCs/>
          <w:color w:val="1A6B7A"/>
          <w:sz w:val="24"/>
          <w:szCs w:val="24"/>
        </w:rPr>
        <w:t xml:space="preserve">L'éthique n'est pas une option : c'est une porte obligatoire intégrée à chaque module de modification génomique.</w:t>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Principes non négociables</w:t>
      </w:r>
    </w:p>
    <w:p>
      <w:pPr>
        <w:pStyle w:val="ListParagraph"/>
        <w:numPr>
          <w:ilvl w:val="0"/>
          <w:numId w:val="2"/>
        </w:numPr>
        <w:spacing w:before="40" w:after="40"/>
      </w:pPr>
      <w:r>
        <w:rPr>
          <w:rFonts w:ascii="Arial" w:cs="Arial" w:eastAsia="Arial" w:hAnsi="Arial"/>
          <w:color w:val="333333"/>
          <w:sz w:val="22"/>
          <w:szCs w:val="22"/>
        </w:rPr>
        <w:t xml:space="preserve">Aucune modification génique ne peut être appliquée sans validation humaine explicite</w:t>
      </w:r>
    </w:p>
    <w:p>
      <w:pPr>
        <w:pStyle w:val="ListParagraph"/>
        <w:numPr>
          <w:ilvl w:val="0"/>
          <w:numId w:val="2"/>
        </w:numPr>
        <w:spacing w:before="40" w:after="40"/>
      </w:pPr>
      <w:r>
        <w:rPr>
          <w:rFonts w:ascii="Arial" w:cs="Arial" w:eastAsia="Arial" w:hAnsi="Arial"/>
          <w:color w:val="333333"/>
          <w:sz w:val="22"/>
          <w:szCs w:val="22"/>
        </w:rPr>
        <w:t xml:space="preserve">Chaque recommandation CRISPR est soumise à un score de biosécurité avant d'être affichée</w:t>
      </w:r>
    </w:p>
    <w:p>
      <w:pPr>
        <w:pStyle w:val="ListParagraph"/>
        <w:numPr>
          <w:ilvl w:val="0"/>
          <w:numId w:val="2"/>
        </w:numPr>
        <w:spacing w:before="40" w:after="40"/>
      </w:pPr>
      <w:r>
        <w:rPr>
          <w:rFonts w:ascii="Arial" w:cs="Arial" w:eastAsia="Arial" w:hAnsi="Arial"/>
          <w:color w:val="333333"/>
          <w:sz w:val="22"/>
          <w:szCs w:val="22"/>
        </w:rPr>
        <w:t xml:space="preserve">L'XAI (Explainable AI) est intégré à chaque prédiction : l'utilisateur voit pourquoi la recommandation est faite</w:t>
      </w:r>
    </w:p>
    <w:p>
      <w:pPr>
        <w:pStyle w:val="ListParagraph"/>
        <w:numPr>
          <w:ilvl w:val="0"/>
          <w:numId w:val="2"/>
        </w:numPr>
        <w:spacing w:before="40" w:after="40"/>
      </w:pPr>
      <w:r>
        <w:rPr>
          <w:rFonts w:ascii="Arial" w:cs="Arial" w:eastAsia="Arial" w:hAnsi="Arial"/>
          <w:color w:val="333333"/>
          <w:sz w:val="22"/>
          <w:szCs w:val="22"/>
        </w:rPr>
        <w:t xml:space="preserve">Audit log complet de toutes les opérations génomiques</w:t>
      </w:r>
    </w:p>
    <w:p>
      <w:pPr>
        <w:pStyle w:val="ListParagraph"/>
        <w:numPr>
          <w:ilvl w:val="0"/>
          <w:numId w:val="2"/>
        </w:numPr>
        <w:spacing w:before="40" w:after="40"/>
      </w:pPr>
      <w:r>
        <w:rPr>
          <w:rFonts w:ascii="Arial" w:cs="Arial" w:eastAsia="Arial" w:hAnsi="Arial"/>
          <w:color w:val="333333"/>
          <w:sz w:val="22"/>
          <w:szCs w:val="22"/>
        </w:rPr>
        <w:t xml:space="preserve">Conformité aux réglementations tunisiennes et européennes sur l'édition génique</w:t>
      </w:r>
    </w:p>
    <w:p>
      <w:pPr>
        <w:spacing w:before="60" w:after="60"/>
      </w:pPr>
      <w:r>
        <w:t xml:space="preserve"/>
      </w:r>
    </w:p>
    <w:p>
      <w:pPr>
        <w:pStyle w:val="Heading2"/>
        <w:pBdr>
          <w:bottom w:val="single" w:color="E8F4F6" w:sz="3"/>
        </w:pBdr>
        <w:spacing w:before="240" w:after="120"/>
      </w:pPr>
      <w:r>
        <w:rPr>
          <w:rFonts w:ascii="Arial" w:cs="Arial" w:eastAsia="Arial" w:hAnsi="Arial"/>
          <w:b/>
          <w:bCs/>
          <w:color w:val="1A6B7A"/>
          <w:sz w:val="28"/>
          <w:szCs w:val="28"/>
        </w:rPr>
        <w:t xml:space="preserve">Implémentation technique de l'Ethics Gate</w:t>
      </w:r>
    </w:p>
    <w:p>
      <w:pPr>
        <w:pStyle w:val="ListParagraph"/>
        <w:numPr>
          <w:ilvl w:val="0"/>
          <w:numId w:val="2"/>
        </w:numPr>
        <w:spacing w:before="40" w:after="40"/>
      </w:pPr>
      <w:r>
        <w:rPr>
          <w:rFonts w:ascii="Arial" w:cs="Arial" w:eastAsia="Arial" w:hAnsi="Arial"/>
          <w:color w:val="333333"/>
          <w:sz w:val="22"/>
          <w:szCs w:val="22"/>
        </w:rPr>
        <w:t xml:space="preserve">Base de règles métier (liste blanche/noire de modifications autorisées)</w:t>
      </w:r>
    </w:p>
    <w:p>
      <w:pPr>
        <w:pStyle w:val="ListParagraph"/>
        <w:numPr>
          <w:ilvl w:val="0"/>
          <w:numId w:val="2"/>
        </w:numPr>
        <w:spacing w:before="40" w:after="40"/>
      </w:pPr>
      <w:r>
        <w:rPr>
          <w:rFonts w:ascii="Arial" w:cs="Arial" w:eastAsia="Arial" w:hAnsi="Arial"/>
          <w:color w:val="333333"/>
          <w:sz w:val="22"/>
          <w:szCs w:val="22"/>
        </w:rPr>
        <w:t xml:space="preserve">Validation croisée avec un LLM entraîné sur les textes réglementaires</w:t>
      </w:r>
    </w:p>
    <w:p>
      <w:pPr>
        <w:pStyle w:val="ListParagraph"/>
        <w:numPr>
          <w:ilvl w:val="0"/>
          <w:numId w:val="2"/>
        </w:numPr>
        <w:spacing w:before="40" w:after="40"/>
      </w:pPr>
      <w:r>
        <w:rPr>
          <w:rFonts w:ascii="Arial" w:cs="Arial" w:eastAsia="Arial" w:hAnsi="Arial"/>
          <w:color w:val="333333"/>
          <w:sz w:val="22"/>
          <w:szCs w:val="22"/>
        </w:rPr>
        <w:t xml:space="preserve">Interface de validation humaine obligatoire avant export de toute recommandation</w:t>
      </w:r>
    </w:p>
    <w:p>
      <w:pPr>
        <w:pStyle w:val="ListParagraph"/>
        <w:numPr>
          <w:ilvl w:val="0"/>
          <w:numId w:val="2"/>
        </w:numPr>
        <w:spacing w:before="40" w:after="40"/>
      </w:pPr>
      <w:r>
        <w:rPr>
          <w:rFonts w:ascii="Arial" w:cs="Arial" w:eastAsia="Arial" w:hAnsi="Arial"/>
          <w:color w:val="333333"/>
          <w:sz w:val="22"/>
          <w:szCs w:val="22"/>
        </w:rPr>
        <w:t xml:space="preserve">Traçabilité complète (blockchain optionnelle pour audit externe)</w:t>
      </w:r>
    </w:p>
    <w:p>
      <w:pPr>
        <w:spacing w:before="60" w:after="60"/>
      </w:pPr>
      <w:r>
        <w:t xml:space="preserve"/>
      </w:r>
    </w:p>
    <w:p>
      <w:pPr>
        <w:spacing w:before="60" w:after="60"/>
      </w:pPr>
      <w:r>
        <w:t xml:space="preserve"/>
      </w:r>
    </w:p>
    <w:p>
      <w:r>
        <w:br w:type="page"/>
      </w:r>
    </w:p>
    <w:p>
      <w:pPr>
        <w:pStyle w:val="Heading1"/>
        <w:pBdr>
          <w:bottom w:val="single" w:color="2E9CB8" w:sz="6"/>
        </w:pBdr>
        <w:shd w:fill="1A6B7A" w:val="clear"/>
        <w:spacing w:before="320" w:after="160"/>
        <w:ind w:left="200" w:right="200"/>
      </w:pPr>
      <w:r>
        <w:rPr>
          <w:rFonts w:ascii="Arial" w:cs="Arial" w:eastAsia="Arial" w:hAnsi="Arial"/>
          <w:b/>
          <w:bCs/>
          <w:color w:val="FFFFFF"/>
          <w:sz w:val="36"/>
          <w:szCs w:val="36"/>
        </w:rPr>
        <w:t xml:space="preserve">Conclusion</w:t>
      </w:r>
    </w:p>
    <w:p>
      <w:pPr>
        <w:spacing w:before="60" w:after="60"/>
      </w:pPr>
      <w:r>
        <w:t xml:space="preserve"/>
      </w:r>
    </w:p>
    <w:p>
      <w:pPr>
        <w:spacing w:before="60" w:after="160"/>
      </w:pPr>
      <w:r>
        <w:rPr>
          <w:rFonts w:ascii="Arial" w:cs="Arial" w:eastAsia="Arial" w:hAnsi="Arial"/>
          <w:b w:val="false"/>
          <w:bCs w:val="false"/>
          <w:color w:val="000000"/>
          <w:sz w:val="22"/>
          <w:szCs w:val="22"/>
        </w:rPr>
        <w:t xml:space="preserve">La plateforme Plant DNA Intelligence constitue une réponse technique complète et modulaire au problème central identifié : l'absence d'écosystème intégré combinant génomique végétale, IA de précision, éthique et accessibilité pour tous les acteurs de la chaîne alimentaire.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DD" w:sz="1"/>
              <w:left w:val="single" w:color="CCDDDD" w:sz="1"/>
              <w:bottom w:val="single" w:color="CCDDDD" w:sz="1"/>
              <w:right w:val="single" w:color="CCDDDD" w:sz="1"/>
            </w:tcBorders>
            <w:shd w:fill="E0F0F4" w:val="clear"/>
            <w:tcMar>
              <w:top w:type="dxa" w:w="120"/>
              <w:left w:type="dxa" w:w="200"/>
              <w:bottom w:type="dxa" w:w="120"/>
              <w:right w:type="dxa" w:w="200"/>
            </w:tcMar>
          </w:tcPr>
          <w:p>
            <w:r>
              <w:rPr>
                <w:rFonts w:ascii="Arial" w:cs="Arial" w:eastAsia="Arial" w:hAnsi="Arial"/>
                <w:b/>
                <w:bCs/>
                <w:color w:val="1A6B7A"/>
                <w:sz w:val="22"/>
                <w:szCs w:val="22"/>
              </w:rPr>
              <w:t xml:space="preserve">Valeur différenciante</w:t>
            </w:r>
          </w:p>
          <w:p>
            <w:r>
              <w:rPr>
                <w:rFonts w:ascii="Arial" w:cs="Arial" w:eastAsia="Arial" w:hAnsi="Arial"/>
                <w:color w:val="444444"/>
                <w:sz w:val="20"/>
                <w:szCs w:val="20"/>
              </w:rPr>
              <w:t xml:space="preserve">9 modules intégrés dans une seule plateforme, couvrant l'analyse ADN, l'hybridation, CRISPR, la simulation, la détection acoustique de ravageurs, la production de protéines thérapeutiques et un assistant multimodal — avec Ethics Gate obligatoire à chaque étape critique.</w:t>
            </w:r>
          </w:p>
        </w:tc>
      </w:tr>
    </w:tbl>
    <w:p>
      <w:pPr>
        <w:spacing w:before="60" w:after="60"/>
      </w:pPr>
      <w:r>
        <w:t xml:space="preserve"/>
      </w:r>
    </w:p>
    <w:p>
      <w:pPr>
        <w:spacing w:before="60" w:after="60"/>
      </w:pPr>
      <w:r>
        <w:t xml:space="preserve"/>
      </w:r>
    </w:p>
    <w:p>
      <w:pPr>
        <w:spacing w:before="60" w:after="160"/>
      </w:pPr>
      <w:r>
        <w:rPr>
          <w:rFonts w:ascii="Arial" w:cs="Arial" w:eastAsia="Arial" w:hAnsi="Arial"/>
          <w:b w:val="false"/>
          <w:bCs w:val="false"/>
          <w:color w:val="000000"/>
          <w:sz w:val="22"/>
          <w:szCs w:val="22"/>
        </w:rPr>
        <w:t xml:space="preserve">La solution proposée s'appuie intégralement sur des outils open source (Biopython, PyTorch, FAISS, LangChain, librosa, dnachisel) et des bases de données publiques (NCBI, Gramene, TAIR, PlantVillage, UniProt), garantissant sa reproductibilité et son accessibilité pour des institutions comme l'IRA de Tunis.</w:t>
      </w:r>
    </w:p>
    <w:p>
      <w:pPr>
        <w:spacing w:before="60" w:after="60"/>
      </w:pPr>
      <w:r>
        <w:t xml:space="preserve"/>
      </w:r>
    </w:p>
    <w:p>
      <w:pPr>
        <w:spacing w:before="60" w:after="160"/>
      </w:pPr>
      <w:r>
        <w:rPr>
          <w:rFonts w:ascii="Arial" w:cs="Arial" w:eastAsia="Arial" w:hAnsi="Arial"/>
          <w:b w:val="false"/>
          <w:bCs w:val="false"/>
          <w:color w:val="1A6B7A"/>
          <w:sz w:val="22"/>
          <w:szCs w:val="22"/>
        </w:rPr>
        <w:t xml:space="preserve">Ce projet démontre qu'une IA responsable au service de l'agriculture n'est pas une vision futuriste : c'est une réalité technique constructible dès aujourd'hui avec les outils identifiés.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7A" w:sz="4"/>
      </w:pBdr>
      <w:spacing w:before="6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A" w:sz="4"/>
      </w:pBdr>
      <w:spacing w:after="0"/>
    </w:pPr>
    <w:r>
      <w:rPr>
        <w:rFonts w:ascii="Arial" w:cs="Arial" w:eastAsia="Arial" w:hAnsi="Arial"/>
        <w:color w:val="666666"/>
        <w:sz w:val="18"/>
        <w:szCs w:val="18"/>
      </w:rPr>
      <w:t xml:space="preserve">Plant DNA Intelligence Platform  |  Analyse &amp; Solution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6B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C3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2026-03-25T08:12:11.814Z</dcterms:created>
  <dcterms:modified xsi:type="dcterms:W3CDTF">2026-03-25T08:12:11.815Z</dcterms:modified>
</cp:coreProperties>
</file>

<file path=docProps/custom.xml><?xml version="1.0" encoding="utf-8"?>
<Properties xmlns="http://schemas.openxmlformats.org/officeDocument/2006/custom-properties" xmlns:vt="http://schemas.openxmlformats.org/officeDocument/2006/docPropsVTypes"/>
</file>