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qa-defense-preparation-guide"/>
    <w:p>
      <w:pPr>
        <w:pStyle w:val="Heading1"/>
      </w:pPr>
      <w:r>
        <w:t xml:space="preserve">Q&amp;A Defense Preparation Guide</w:t>
      </w:r>
    </w:p>
    <w:bookmarkStart w:id="20" w:name="Xa6f0c7b826456e3e872468ae403db6fbc344462"/>
    <w:p>
      <w:pPr>
        <w:pStyle w:val="Heading2"/>
      </w:pPr>
      <w:r>
        <w:t xml:space="preserve">MSc Thesis: Predicting CI/CD Pipeline Build Failures Using Machine Learning Techniques</w:t>
      </w:r>
    </w:p>
    <w:p>
      <w:pPr>
        <w:pStyle w:val="FirstParagraph"/>
      </w:pPr>
      <w:r>
        <w:rPr>
          <w:bCs/>
          <w:b/>
        </w:rPr>
        <w:t xml:space="preserve">Student:</w:t>
      </w:r>
      <w:r>
        <w:t xml:space="preserve"> </w:t>
      </w:r>
      <w:r>
        <w:t xml:space="preserve">Moamen Mohamed Aly Hussein (ID: 202401681)</w:t>
      </w:r>
      <w:r>
        <w:t xml:space="preserve"> </w:t>
      </w:r>
      <w:r>
        <w:rPr>
          <w:bCs/>
          <w:b/>
        </w:rPr>
        <w:t xml:space="preserve">Defense Date:</w:t>
      </w:r>
      <w:r>
        <w:t xml:space="preserve"> </w:t>
      </w:r>
      <w:r>
        <w:t xml:space="preserve">Saturday, June 7, 2026</w:t>
      </w:r>
    </w:p>
    <w:p>
      <w:r>
        <w:pict>
          <v:rect style="width:0;height:1.5pt" o:hralign="center" o:hrstd="t" o:hr="t"/>
        </w:pict>
      </w:r>
    </w:p>
    <w:bookmarkEnd w:id="20"/>
    <w:bookmarkEnd w:id="21"/>
    <w:bookmarkStart w:id="23" w:name="الـ-defense-strategy"/>
    <w:p>
      <w:pPr>
        <w:pStyle w:val="Heading1"/>
      </w:pPr>
      <w:r>
        <w:t xml:space="preserve">📌 الـ Defense Strategy</w:t>
      </w:r>
    </w:p>
    <w:bookmarkStart w:id="22" w:name="golden-rules"/>
    <w:p>
      <w:pPr>
        <w:pStyle w:val="Heading2"/>
      </w:pPr>
      <w:r>
        <w:t xml:space="preserve">Golden Rules</w:t>
      </w:r>
    </w:p>
    <w:p>
      <w:pPr>
        <w:numPr>
          <w:ilvl w:val="0"/>
          <w:numId w:val="1001"/>
        </w:numPr>
        <w:pStyle w:val="Compact"/>
      </w:pPr>
      <w:r>
        <w:rPr>
          <w:bCs/>
          <w:b/>
        </w:rPr>
        <w:t xml:space="preserve">اعرف أرقامك ظاهر</w:t>
      </w:r>
      <w:r>
        <w:t xml:space="preserve"> </w:t>
      </w:r>
      <w:r>
        <w:t xml:space="preserve">— F1 = 0.59, Recall = 0.62, ROC-AUC = 0.88</w:t>
      </w:r>
    </w:p>
    <w:p>
      <w:pPr>
        <w:numPr>
          <w:ilvl w:val="0"/>
          <w:numId w:val="1001"/>
        </w:numPr>
        <w:pStyle w:val="Compact"/>
      </w:pPr>
      <w:r>
        <w:rPr>
          <w:bCs/>
          <w:b/>
        </w:rPr>
        <w:t xml:space="preserve">كن صريح في النواقص</w:t>
      </w:r>
      <w:r>
        <w:t xml:space="preserve"> </w:t>
      </w:r>
      <w:r>
        <w:t xml:space="preserve">— الـ Hybrid claim كان ضعيف، قول كده وفسره أكاديمياً</w:t>
      </w:r>
    </w:p>
    <w:p>
      <w:pPr>
        <w:numPr>
          <w:ilvl w:val="0"/>
          <w:numId w:val="1001"/>
        </w:numPr>
        <w:pStyle w:val="Compact"/>
      </w:pPr>
      <w:r>
        <w:rPr>
          <w:bCs/>
          <w:b/>
        </w:rPr>
        <w:t xml:space="preserve">استخدم الـ</w:t>
      </w:r>
      <w:r>
        <w:rPr>
          <w:bCs/>
          <w:b/>
        </w:rPr>
        <w:t xml:space="preserve"> </w:t>
      </w:r>
      <w:r>
        <w:rPr>
          <w:bCs/>
          <w:b/>
        </w:rPr>
        <w:t xml:space="preserve">“</w:t>
      </w:r>
      <w:r>
        <w:rPr>
          <w:bCs/>
          <w:b/>
        </w:rPr>
        <w:t xml:space="preserve">Because</w:t>
      </w:r>
      <w:r>
        <w:rPr>
          <w:bCs/>
          <w:b/>
        </w:rPr>
        <w:t xml:space="preserve">”</w:t>
      </w:r>
      <w:r>
        <w:rPr>
          <w:bCs/>
          <w:b/>
        </w:rPr>
        <w:t xml:space="preserve"> </w:t>
      </w:r>
      <w:r>
        <w:rPr>
          <w:bCs/>
          <w:b/>
        </w:rPr>
        <w:t xml:space="preserve">technique</w:t>
      </w:r>
      <w:r>
        <w:t xml:space="preserve"> </w:t>
      </w:r>
      <w:r>
        <w:t xml:space="preserve">— كل جواب يبدأ بحقيقة وينتهي بـ</w:t>
      </w:r>
      <w:r>
        <w:t xml:space="preserve"> </w:t>
      </w:r>
      <w:r>
        <w:t xml:space="preserve">“</w:t>
      </w:r>
      <w:r>
        <w:t xml:space="preserve">لأن…</w:t>
      </w:r>
      <w:r>
        <w:t xml:space="preserve">”</w:t>
      </w:r>
    </w:p>
    <w:p>
      <w:pPr>
        <w:numPr>
          <w:ilvl w:val="0"/>
          <w:numId w:val="1001"/>
        </w:numPr>
        <w:pStyle w:val="Compact"/>
      </w:pPr>
      <w:r>
        <w:rPr>
          <w:bCs/>
          <w:b/>
        </w:rPr>
        <w:t xml:space="preserve">لو ما تعرفش، قول</w:t>
      </w:r>
      <w:r>
        <w:rPr>
          <w:bCs/>
          <w:b/>
        </w:rPr>
        <w:t xml:space="preserve"> </w:t>
      </w:r>
      <w:r>
        <w:rPr>
          <w:bCs/>
          <w:b/>
        </w:rPr>
        <w:t xml:space="preserve">“</w:t>
      </w:r>
      <w:r>
        <w:rPr>
          <w:bCs/>
          <w:b/>
        </w:rPr>
        <w:t xml:space="preserve">I don’t know but I would investigate by…</w:t>
      </w:r>
      <w:r>
        <w:rPr>
          <w:bCs/>
          <w:b/>
        </w:rPr>
        <w:t xml:space="preserve">”</w:t>
      </w:r>
    </w:p>
    <w:p>
      <w:pPr>
        <w:numPr>
          <w:ilvl w:val="0"/>
          <w:numId w:val="1001"/>
        </w:numPr>
        <w:pStyle w:val="Compact"/>
      </w:pPr>
      <w:r>
        <w:rPr>
          <w:bCs/>
          <w:b/>
        </w:rPr>
        <w:t xml:space="preserve">اربط بالتطبيق العملي</w:t>
      </w:r>
      <w:r>
        <w:t xml:space="preserve"> </w:t>
      </w:r>
      <w:r>
        <w:t xml:space="preserve">— وأنت DevOps engineer، عندك ميزة فريدة</w:t>
      </w:r>
    </w:p>
    <w:p>
      <w:r>
        <w:pict>
          <v:rect style="width:0;height:1.5pt" o:hralign="center" o:hrstd="t" o:hr="t"/>
        </w:pict>
      </w:r>
    </w:p>
    <w:bookmarkEnd w:id="22"/>
    <w:bookmarkEnd w:id="23"/>
    <w:bookmarkStart w:id="29" w:name="section-1-أسئلة-عن-المنهجية-methodology"/>
    <w:p>
      <w:pPr>
        <w:pStyle w:val="Heading1"/>
      </w:pPr>
      <w:r>
        <w:t xml:space="preserve">🎯 Section 1: أسئلة عن المنهجية (Methodology)</w:t>
      </w:r>
    </w:p>
    <w:bookmarkStart w:id="24" w:name="X794cb9a143615c81fe9d0769d6adc324e6ee9fc"/>
    <w:p>
      <w:pPr>
        <w:pStyle w:val="Heading2"/>
      </w:pPr>
      <w:r>
        <w:t xml:space="preserve">Q1: ليه اخترت Binary Classification بدل Multi-class؟</w:t>
      </w:r>
    </w:p>
    <w:p>
      <w:pPr>
        <w:pStyle w:val="FirstParagraph"/>
      </w:pPr>
      <w:r>
        <w:rPr>
          <w:bCs/>
          <w:b/>
        </w:rPr>
        <w:t xml:space="preserve">الإجابة:</w:t>
      </w:r>
    </w:p>
    <w:p>
      <w:pPr>
        <w:pStyle w:val="BlockText"/>
      </w:pPr>
      <w:r>
        <w:t xml:space="preserve">The choice of binary classification reflects the operational use case: at commit time, the system needs to answer one question —</w:t>
      </w:r>
      <w:r>
        <w:t xml:space="preserve"> </w:t>
      </w:r>
      <w:r>
        <w:t xml:space="preserve">“</w:t>
      </w:r>
      <w:r>
        <w:t xml:space="preserve">will this build fail?</w:t>
      </w:r>
      <w:r>
        <w:t xml:space="preserve">”</w:t>
      </w:r>
      <w:r>
        <w:t xml:space="preserve"> </w:t>
      </w:r>
      <w:r>
        <w:t xml:space="preserve">— to inform a single decision: whether to allocate full pipeline resources or to apply some intervention like a smaller pre-flight test. A multi-class formulation (predicting WHICH stage will fail) is academically interesting but does not change the operational decision, since any failure justifies the same intervention. Additionally, the GitHub Actions API only exposes the final conclusion (success/failure), not the failure stage, so a multi-class formulation would have required either a different data source or extracting failure stages from raw logs, both of which were outside the project scope.</w:t>
      </w:r>
    </w:p>
    <w:bookmarkEnd w:id="24"/>
    <w:bookmarkStart w:id="25" w:name="Xd6b2b148c115e2af4f6831ae13b342bac0076b8"/>
    <w:p>
      <w:pPr>
        <w:pStyle w:val="Heading2"/>
      </w:pPr>
      <w:r>
        <w:t xml:space="preserve">Q2: ليه استخدمت Hybrid Pipeline لو الـ Ablation Study أثبت إن الـ Structured-only أحسن؟</w:t>
      </w:r>
    </w:p>
    <w:p>
      <w:pPr>
        <w:pStyle w:val="FirstParagraph"/>
      </w:pPr>
      <w:r>
        <w:rPr>
          <w:bCs/>
          <w:b/>
        </w:rPr>
        <w:t xml:space="preserve">الإجابة (صريحة):</w:t>
      </w:r>
    </w:p>
    <w:p>
      <w:pPr>
        <w:pStyle w:val="BlockText"/>
      </w:pPr>
      <w:r>
        <w:t xml:space="preserve">This is a fair and important question. The empirical finding from the ablation study is that at the default 0.5 threshold, the structured-only configuration achieves a slightly higher failure-class F1 (0.38 vs 0.32 for hybrid). However, three considerations justify keeping the hybrid framing in the project:</w:t>
      </w:r>
    </w:p>
    <w:p>
      <w:pPr>
        <w:pStyle w:val="BlockText"/>
      </w:pPr>
      <w:r>
        <w:t xml:space="preserve">First, on threshold-independent metrics — ROC-AUC and PR-AUC — the hybrid configuration is marginally ahead (0.884 vs 0.877 ROC-AUC), indicating that the textual modality contributes weakly to the model’s ranking ability even when it harms the default decision rule.</w:t>
      </w:r>
    </w:p>
    <w:p>
      <w:pPr>
        <w:pStyle w:val="BlockText"/>
      </w:pPr>
      <w:r>
        <w:t xml:space="preserve">Second, after threshold optimization, the hybrid configuration becomes the winning model with F1 = 0.59, demonstrating that the text branch’s contribution becomes useful when the decision rule is properly calibrated.</w:t>
      </w:r>
    </w:p>
    <w:p>
      <w:pPr>
        <w:pStyle w:val="BlockText"/>
      </w:pPr>
      <w:r>
        <w:t xml:space="preserve">Third, and most importantly, this is an honest academic finding that contradicts the hypothesis with which the project began. Reporting it openly — rather than hiding it behind a more favorable framing — is itself a contribution to the literature, which has not previously documented this limitation on real GitHub Actions data with TF-IDF text features.</w:t>
      </w:r>
    </w:p>
    <w:bookmarkEnd w:id="25"/>
    <w:bookmarkStart w:id="26" w:name="Xd8637b6c73508790ecafd887b303513fe643008"/>
    <w:p>
      <w:pPr>
        <w:pStyle w:val="Heading2"/>
      </w:pPr>
      <w:r>
        <w:t xml:space="preserve">Q3: ليه ما استخدمتش Deep Learning (BERT, Transformers)؟</w:t>
      </w:r>
    </w:p>
    <w:p>
      <w:pPr>
        <w:pStyle w:val="FirstParagraph"/>
      </w:pPr>
      <w:r>
        <w:rPr>
          <w:bCs/>
          <w:b/>
        </w:rPr>
        <w:t xml:space="preserve">الإجابة:</w:t>
      </w:r>
    </w:p>
    <w:p>
      <w:pPr>
        <w:pStyle w:val="BlockText"/>
      </w:pPr>
      <w:r>
        <w:t xml:space="preserve">Three reasons:</w:t>
      </w:r>
    </w:p>
    <w:p>
      <w:pPr>
        <w:pStyle w:val="BlockText"/>
      </w:pPr>
      <w:r>
        <w:t xml:space="preserve">First, scope and reproducibility: a deep learning solution at the scale needed for transformer-based text encoding would require GPU compute, which contradicts one of the project’s non-functional requirements that the system run on commodity hardware without specialized accelerators.</w:t>
      </w:r>
    </w:p>
    <w:p>
      <w:pPr>
        <w:pStyle w:val="BlockText"/>
      </w:pPr>
      <w:r>
        <w:t xml:space="preserve">Second, baseline first: the project’s research strategy was to establish a well-understood baseline (TF-IDF) and document its strengths and weaknesses, before any deep learning extension. This is the standard methodological order in applied machine learning, and it ensures that any future deep learning result can be compared against a credible reference point — which is exactly what this thesis provides.</w:t>
      </w:r>
    </w:p>
    <w:p>
      <w:pPr>
        <w:pStyle w:val="BlockText"/>
      </w:pPr>
      <w:r>
        <w:t xml:space="preserve">Third, training stability: transformer training introduces stochasticity (dropout, initialization randomness) that complicates the bit-for-bit reproducibility the project achieves with TF-IDF. Replacing this stability with a stochastic alternative was not justified within the academic timeline.</w:t>
      </w:r>
    </w:p>
    <w:p>
      <w:pPr>
        <w:pStyle w:val="BlockText"/>
      </w:pPr>
      <w:r>
        <w:t xml:space="preserve">The conclusion chapter explicitly identifies transformer-based encoders as the highest-priority future work item.</w:t>
      </w:r>
    </w:p>
    <w:bookmarkEnd w:id="26"/>
    <w:bookmarkStart w:id="27" w:name="X8515daf2c000d1696d07b0b7c7494df5594c2d1"/>
    <w:p>
      <w:pPr>
        <w:pStyle w:val="Heading2"/>
      </w:pPr>
      <w:r>
        <w:t xml:space="preserve">Q4: ليه ما عملتش Cross-Validation بدل Single Train/Test Split؟</w:t>
      </w:r>
    </w:p>
    <w:p>
      <w:pPr>
        <w:pStyle w:val="FirstParagraph"/>
      </w:pPr>
      <w:r>
        <w:rPr>
          <w:bCs/>
          <w:b/>
        </w:rPr>
        <w:t xml:space="preserve">الإجابة:</w:t>
      </w:r>
    </w:p>
    <w:p>
      <w:pPr>
        <w:pStyle w:val="BlockText"/>
      </w:pPr>
      <w:r>
        <w:t xml:space="preserve">The project does perform a form of cross-validation, but in a less common configuration: instead of k-fold CV on a single test partition, it uses dual independent splits (stratified random + chronological). This dual reporting provides two independent estimates of model performance under genuinely different conditions: the stratified split tests intrinsic discriminative ability, while the chronological split tests temporal robustness. This is arguably stronger evidence than k-fold CV alone, because k-fold rotates the same data around multiple times whereas dual-split tests two fundamentally different sampling regimes.</w:t>
      </w:r>
    </w:p>
    <w:p>
      <w:pPr>
        <w:pStyle w:val="BlockText"/>
      </w:pPr>
      <w:r>
        <w:t xml:space="preserve">That said, k-fold CV would be a valuable addition for a future extension: it would provide a tighter variance estimate around the headline F1 of 0.59 and would allow standard hypothesis testing between the three classifiers.</w:t>
      </w:r>
    </w:p>
    <w:bookmarkEnd w:id="27"/>
    <w:bookmarkStart w:id="28" w:name="q5-إزاي-تأكدت-إن-ما-فيش-data-leakage"/>
    <w:p>
      <w:pPr>
        <w:pStyle w:val="Heading2"/>
      </w:pPr>
      <w:r>
        <w:t xml:space="preserve">Q5: إزاي تأكدت إن ما فيش Data Leakage؟</w:t>
      </w:r>
    </w:p>
    <w:p>
      <w:pPr>
        <w:pStyle w:val="FirstParagraph"/>
      </w:pPr>
      <w:r>
        <w:rPr>
          <w:bCs/>
          <w:b/>
        </w:rPr>
        <w:t xml:space="preserve">الإجابة:</w:t>
      </w:r>
    </w:p>
    <w:p>
      <w:pPr>
        <w:pStyle w:val="BlockText"/>
      </w:pPr>
      <w:r>
        <w:t xml:space="preserve">Data leakage was addressed at three levels:</w:t>
      </w:r>
    </w:p>
    <w:p>
      <w:pPr>
        <w:pStyle w:val="BlockText"/>
      </w:pPr>
      <w:r>
        <w:t xml:space="preserve">First, post-execution feature exclusion: The features</w:t>
      </w:r>
      <w:r>
        <w:t xml:space="preserve"> </w:t>
      </w:r>
      <w:r>
        <w:rPr>
          <w:rStyle w:val="VerbatimChar"/>
        </w:rPr>
        <w:t xml:space="preserve">run_duration_sec</w:t>
      </w:r>
      <w:r>
        <w:t xml:space="preserve">,</w:t>
      </w:r>
      <w:r>
        <w:t xml:space="preserve"> </w:t>
      </w:r>
      <w:r>
        <w:rPr>
          <w:rStyle w:val="VerbatimChar"/>
        </w:rPr>
        <w:t xml:space="preserve">run_attempt</w:t>
      </w:r>
      <w:r>
        <w:t xml:space="preserve">,</w:t>
      </w:r>
      <w:r>
        <w:t xml:space="preserve"> </w:t>
      </w:r>
      <w:r>
        <w:rPr>
          <w:rStyle w:val="VerbatimChar"/>
        </w:rPr>
        <w:t xml:space="preserve">status</w:t>
      </w:r>
      <w:r>
        <w:t xml:space="preserve">, and</w:t>
      </w:r>
      <w:r>
        <w:t xml:space="preserve"> </w:t>
      </w:r>
      <w:r>
        <w:rPr>
          <w:rStyle w:val="VerbatimChar"/>
        </w:rPr>
        <w:t xml:space="preserve">updated_at</w:t>
      </w:r>
      <w:r>
        <w:t xml:space="preserve"> </w:t>
      </w:r>
      <w:r>
        <w:t xml:space="preserve">are explicitly dropped from the feature set before training. An automated test (TC-002 in Section 7.2) asserts that no post-execution column is present in the final feature matrix, and this test fails the build if any of these columns leak back in. This is the most important leakage defense and protects the project’s central scientific claim of pre-execution prediction.</w:t>
      </w:r>
    </w:p>
    <w:p>
      <w:pPr>
        <w:pStyle w:val="BlockText"/>
      </w:pPr>
      <w:r>
        <w:t xml:space="preserve">Second, chronological split verification: An automated test (TC-001) asserts that the minimum timestamp in the chronological test set is greater than or equal to the maximum timestamp in the chronological train set. This guarantees no future commits leak into training.</w:t>
      </w:r>
    </w:p>
    <w:p>
      <w:pPr>
        <w:pStyle w:val="BlockText"/>
      </w:pPr>
      <w:r>
        <w:t xml:space="preserve">Third, identity leakage in text features: The 693-token stoplist removes all observed author logins, all repository names, and known bot signatures before TF-IDF vectorization. While not perfect (Section 8.3 acknowledges residual project-vocabulary leakage), this represents a substantially more rigorous defense than the prior literature.</w:t>
      </w:r>
    </w:p>
    <w:p>
      <w:r>
        <w:pict>
          <v:rect style="width:0;height:1.5pt" o:hralign="center" o:hrstd="t" o:hr="t"/>
        </w:pict>
      </w:r>
    </w:p>
    <w:bookmarkEnd w:id="28"/>
    <w:bookmarkEnd w:id="29"/>
    <w:bookmarkStart w:id="35" w:name="section-2-أسئلة-عن-النتائج-results"/>
    <w:p>
      <w:pPr>
        <w:pStyle w:val="Heading1"/>
      </w:pPr>
      <w:r>
        <w:t xml:space="preserve">🎯 Section 2: أسئلة عن النتائج (Results)</w:t>
      </w:r>
    </w:p>
    <w:bookmarkStart w:id="30" w:name="q6-الـ-f1-0.59-ده-كويس-ولا-وحش"/>
    <w:p>
      <w:pPr>
        <w:pStyle w:val="Heading2"/>
      </w:pPr>
      <w:r>
        <w:t xml:space="preserve">Q6: الـ F1 = 0.59 ده كويس ولا وحش؟</w:t>
      </w:r>
    </w:p>
    <w:p>
      <w:pPr>
        <w:pStyle w:val="FirstParagraph"/>
      </w:pPr>
      <w:r>
        <w:rPr>
          <w:bCs/>
          <w:b/>
        </w:rPr>
        <w:t xml:space="preserve">الإجابة:</w:t>
      </w:r>
    </w:p>
    <w:p>
      <w:pPr>
        <w:pStyle w:val="BlockText"/>
      </w:pPr>
      <w:r>
        <w:t xml:space="preserve">By itself, F1 = 0.59 is a moderate score, but in context it represents strong performance for three reasons:</w:t>
      </w:r>
    </w:p>
    <w:p>
      <w:pPr>
        <w:pStyle w:val="BlockText"/>
      </w:pPr>
      <w:r>
        <w:t xml:space="preserve">First, the baseline: A naive classifier that always predicts</w:t>
      </w:r>
      <w:r>
        <w:t xml:space="preserve"> </w:t>
      </w:r>
      <w:r>
        <w:t xml:space="preserve">“</w:t>
      </w:r>
      <w:r>
        <w:t xml:space="preserve">success</w:t>
      </w:r>
      <w:r>
        <w:t xml:space="preserve">”</w:t>
      </w:r>
      <w:r>
        <w:t xml:space="preserve"> </w:t>
      </w:r>
      <w:r>
        <w:t xml:space="preserve">would achieve F1 = 0 on the failure class. A random classifier with 11% failure prior would achieve F1 ≈ 0.20. So F1 = 0.59 is roughly three times better than chance.</w:t>
      </w:r>
    </w:p>
    <w:p>
      <w:pPr>
        <w:pStyle w:val="BlockText"/>
      </w:pPr>
      <w:r>
        <w:t xml:space="preserve">Second, the literature: Published studies on similar CI/CD failure prediction tasks report F1 scores in the range 0.40-0.60, and most of those rely on post-execution features that this project deliberately excludes. Achieving 0.59 with strictly pre-execution features is therefore competitive with the state of the art under harder constraints.</w:t>
      </w:r>
    </w:p>
    <w:p>
      <w:pPr>
        <w:pStyle w:val="BlockText"/>
      </w:pPr>
      <w:r>
        <w:t xml:space="preserve">Third, the practical translation: at this F1 level, the model catches 62% of true failures with 57% precision. This is sufficient to drive meaningful operational decisions, as the business-impact analysis demonstrates ($383,000 annual savings under the documented scenario).</w:t>
      </w:r>
    </w:p>
    <w:bookmarkEnd w:id="30"/>
    <w:bookmarkStart w:id="31" w:name="X6885d6a4924d3616a882c3abd6d0e3703cb21ed"/>
    <w:p>
      <w:pPr>
        <w:pStyle w:val="Heading2"/>
      </w:pPr>
      <w:r>
        <w:t xml:space="preserve">Q7: ليه الـ Recall بتاعك أعلى من الـ Precision؟ ده مش وحش؟</w:t>
      </w:r>
    </w:p>
    <w:p>
      <w:pPr>
        <w:pStyle w:val="FirstParagraph"/>
      </w:pPr>
      <w:r>
        <w:rPr>
          <w:bCs/>
          <w:b/>
        </w:rPr>
        <w:t xml:space="preserve">الإجابة:</w:t>
      </w:r>
    </w:p>
    <w:p>
      <w:pPr>
        <w:pStyle w:val="BlockText"/>
      </w:pPr>
      <w:r>
        <w:t xml:space="preserve">The recall-precision balance is a deliberate operational choice, not a model defect. At threshold = 0.06, the optimized XGBoost has recall = 0.62 and precision = 0.57.</w:t>
      </w:r>
    </w:p>
    <w:p>
      <w:pPr>
        <w:pStyle w:val="BlockText"/>
      </w:pPr>
      <w:r>
        <w:t xml:space="preserve">The choice reflects the cost asymmetry: a missed failure (false negative) costs an organization roughly $18.75 in developer time plus compute, while a false alarm (false positive) costs about $2.50 in triage time. This 7.5x cost ratio justifies a decision rule that errs on the side of higher recall. The threshold optimization explicitly accounts for this when using the business-cost objective (Section 7.4.4).</w:t>
      </w:r>
    </w:p>
    <w:p>
      <w:pPr>
        <w:pStyle w:val="BlockText"/>
      </w:pPr>
      <w:r>
        <w:t xml:space="preserve">An organization with a different cost structure could trivially re-calibrate: the threshold is a hyperparameter that can be tuned without retraining, and the threshold sweep curves (Figure 7.8) explicitly show the trade-off across the full threshold range.</w:t>
      </w:r>
    </w:p>
    <w:bookmarkEnd w:id="31"/>
    <w:bookmarkStart w:id="32" w:name="X882036a88fa7630497c57680b7e06a33bd23981"/>
    <w:p>
      <w:pPr>
        <w:pStyle w:val="Heading2"/>
      </w:pPr>
      <w:r>
        <w:t xml:space="preserve">Q8: إيه الفرق بين الـ Stratified و Chronological splits؟ ليه عملت الاتنين؟</w:t>
      </w:r>
    </w:p>
    <w:p>
      <w:pPr>
        <w:pStyle w:val="FirstParagraph"/>
      </w:pPr>
      <w:r>
        <w:rPr>
          <w:bCs/>
          <w:b/>
        </w:rPr>
        <w:t xml:space="preserve">الإجابة:</w:t>
      </w:r>
    </w:p>
    <w:p>
      <w:pPr>
        <w:pStyle w:val="BlockText"/>
      </w:pPr>
      <w:r>
        <w:t xml:space="preserve">The stratified random split partitions the data 80/20 while preserving the 89:11 class ratio in both partitions. This split isolates the classifier’s intrinsic discriminative ability from any confound introduced by temporal distribution shift.</w:t>
      </w:r>
    </w:p>
    <w:p>
      <w:pPr>
        <w:pStyle w:val="BlockText"/>
      </w:pPr>
      <w:r>
        <w:t xml:space="preserve">The chronological split sorts the data by commit timestamp and uses the most recent 20% as the test set. This split simulates a production deployment in which a model is trained on historical data and applied to future commits.</w:t>
      </w:r>
    </w:p>
    <w:p>
      <w:pPr>
        <w:pStyle w:val="BlockText"/>
      </w:pPr>
      <w:r>
        <w:t xml:space="preserve">Reporting both is important because they answer different questions: the stratified split answers</w:t>
      </w:r>
      <w:r>
        <w:t xml:space="preserve"> </w:t>
      </w:r>
      <w:r>
        <w:t xml:space="preserve">“</w:t>
      </w:r>
      <w:r>
        <w:t xml:space="preserve">how well does this model classify, in principle?</w:t>
      </w:r>
      <w:r>
        <w:t xml:space="preserve">”</w:t>
      </w:r>
      <w:r>
        <w:t xml:space="preserve"> </w:t>
      </w:r>
      <w:r>
        <w:t xml:space="preserve">while the chronological split answers</w:t>
      </w:r>
      <w:r>
        <w:t xml:space="preserve"> </w:t>
      </w:r>
      <w:r>
        <w:t xml:space="preserve">“</w:t>
      </w:r>
      <w:r>
        <w:t xml:space="preserve">how well does this model classify in deployment?</w:t>
      </w:r>
      <w:r>
        <w:t xml:space="preserve">”</w:t>
      </w:r>
      <w:r>
        <w:t xml:space="preserve">. On this dataset, the two answers happen to agree within ±3 percentage points of F1, which is a positive finding — it means the model is robust to the temporal drift observed in the underlying repositories.</w:t>
      </w:r>
    </w:p>
    <w:p>
      <w:pPr>
        <w:pStyle w:val="BlockText"/>
      </w:pPr>
      <w:r>
        <w:t xml:space="preserve">Reporting only one split would either inflate or deflate the expected performance depending on which is chosen, and would deny the reader the information needed to assess deployment readiness.</w:t>
      </w:r>
    </w:p>
    <w:bookmarkEnd w:id="32"/>
    <w:bookmarkStart w:id="33" w:name="Xde997b5e93b60a5f62032a4822f6ee1cb4b3b49"/>
    <w:p>
      <w:pPr>
        <w:pStyle w:val="Heading2"/>
      </w:pPr>
      <w:r>
        <w:t xml:space="preserve">Q9: ليه الـ XGBoost كان فاشل أولاً وبقى أحسن واحد بعد threshold tuning؟</w:t>
      </w:r>
    </w:p>
    <w:p>
      <w:pPr>
        <w:pStyle w:val="FirstParagraph"/>
      </w:pPr>
      <w:r>
        <w:rPr>
          <w:bCs/>
          <w:b/>
        </w:rPr>
        <w:t xml:space="preserve">الإجابة:</w:t>
      </w:r>
    </w:p>
    <w:p>
      <w:pPr>
        <w:pStyle w:val="BlockText"/>
      </w:pPr>
      <w:r>
        <w:t xml:space="preserve">XGBoost is fundamentally a strong ranking model on this task — its ROC-AUC of 0.884 was already the highest of the three classifiers before any threshold tuning. However, its raw probability outputs are systematically biased toward the majority class, even with</w:t>
      </w:r>
      <w:r>
        <w:t xml:space="preserve"> </w:t>
      </w:r>
      <w:r>
        <w:rPr>
          <w:rStyle w:val="VerbatimChar"/>
        </w:rPr>
        <w:t xml:space="preserve">scale_pos_weight = 8.12</w:t>
      </w:r>
      <w:r>
        <w:t xml:space="preserve"> </w:t>
      </w:r>
      <w:r>
        <w:t xml:space="preserve">applied to compensate for the imbalance.</w:t>
      </w:r>
    </w:p>
    <w:p>
      <w:pPr>
        <w:pStyle w:val="BlockText"/>
      </w:pPr>
      <w:r>
        <w:t xml:space="preserve">The default 0.5 threshold is implicitly calibrated for a balanced class prior. Under the actual 89:11 prior, applying this default to XGBoost’s biased probabilities means very few predictions cross into the failure class — only 20% of true failures are flagged. The model has good information but a miscalibrated decision rule.</w:t>
      </w:r>
    </w:p>
    <w:p>
      <w:pPr>
        <w:pStyle w:val="BlockText"/>
      </w:pPr>
      <w:r>
        <w:t xml:space="preserve">Threshold tuning moves the decision boundary to where the model actually has confident failure predictions. For XGBoost, this is at threshold = 0.06 — an order of magnitude below the default — and the result is a 27 percentage point improvement in F1.</w:t>
      </w:r>
    </w:p>
    <w:p>
      <w:pPr>
        <w:pStyle w:val="BlockText"/>
      </w:pPr>
      <w:r>
        <w:t xml:space="preserve">The lesson generalizes: for imbalanced binary classification, threshold calibration should be treated as a first-class hyperparameter, not as a deployment-time concern. Logistic Regression and Random Forest also benefited from threshold tuning, though less dramatically (+6 and +3 percentage points respectively).</w:t>
      </w:r>
    </w:p>
    <w:bookmarkEnd w:id="33"/>
    <w:bookmarkStart w:id="34" w:name="Xdbf4b1b52be1621bfea1e17f05b3646845695a7"/>
    <w:p>
      <w:pPr>
        <w:pStyle w:val="Heading2"/>
      </w:pPr>
      <w:r>
        <w:t xml:space="preserve">Q10: ليه ما عملتش Hyperparameter Tuning للموديلز؟</w:t>
      </w:r>
    </w:p>
    <w:p>
      <w:pPr>
        <w:pStyle w:val="FirstParagraph"/>
      </w:pPr>
      <w:r>
        <w:rPr>
          <w:bCs/>
          <w:b/>
        </w:rPr>
        <w:t xml:space="preserve">الإجابة:</w:t>
      </w:r>
    </w:p>
    <w:p>
      <w:pPr>
        <w:pStyle w:val="BlockText"/>
      </w:pPr>
      <w:r>
        <w:t xml:space="preserve">The project applies sensible default hyperparameters from the standard machine learning practice —</w:t>
      </w:r>
      <w:r>
        <w:t xml:space="preserve"> </w:t>
      </w:r>
      <w:r>
        <w:rPr>
          <w:rStyle w:val="VerbatimChar"/>
        </w:rPr>
        <w:t xml:space="preserve">n_estimators=200</w:t>
      </w:r>
      <w:r>
        <w:t xml:space="preserve">,</w:t>
      </w:r>
      <w:r>
        <w:t xml:space="preserve"> </w:t>
      </w:r>
      <w:r>
        <w:rPr>
          <w:rStyle w:val="VerbatimChar"/>
        </w:rPr>
        <w:t xml:space="preserve">max_depth=25</w:t>
      </w:r>
      <w:r>
        <w:t xml:space="preserve"> </w:t>
      </w:r>
      <w:r>
        <w:t xml:space="preserve">for Random Forest;</w:t>
      </w:r>
      <w:r>
        <w:t xml:space="preserve"> </w:t>
      </w:r>
      <w:r>
        <w:rPr>
          <w:rStyle w:val="VerbatimChar"/>
        </w:rPr>
        <w:t xml:space="preserve">learning_rate=0.1</w:t>
      </w:r>
      <w:r>
        <w:t xml:space="preserve">,</w:t>
      </w:r>
      <w:r>
        <w:t xml:space="preserve"> </w:t>
      </w:r>
      <w:r>
        <w:rPr>
          <w:rStyle w:val="VerbatimChar"/>
        </w:rPr>
        <w:t xml:space="preserve">n_estimators=300</w:t>
      </w:r>
      <w:r>
        <w:t xml:space="preserve">,</w:t>
      </w:r>
      <w:r>
        <w:t xml:space="preserve"> </w:t>
      </w:r>
      <w:r>
        <w:rPr>
          <w:rStyle w:val="VerbatimChar"/>
        </w:rPr>
        <w:t xml:space="preserve">max_depth=8</w:t>
      </w:r>
      <w:r>
        <w:t xml:space="preserve"> </w:t>
      </w:r>
      <w:r>
        <w:t xml:space="preserve">for XGBoost — without an exhaustive grid search.</w:t>
      </w:r>
    </w:p>
    <w:p>
      <w:pPr>
        <w:pStyle w:val="BlockText"/>
      </w:pPr>
      <w:r>
        <w:t xml:space="preserve">The decision was made on three grounds:</w:t>
      </w:r>
    </w:p>
    <w:p>
      <w:pPr>
        <w:pStyle w:val="BlockText"/>
      </w:pPr>
      <w:r>
        <w:t xml:space="preserve">First, scope: a full grid search across three classifiers with reasonable parameter ranges would have required ~1,000 model fits at 30 seconds each, or roughly 8 hours of additional compute time. This is feasible but was deprioritized in favor of the ablation study and threshold optimization, both of which proved more impactful.</w:t>
      </w:r>
    </w:p>
    <w:p>
      <w:pPr>
        <w:pStyle w:val="BlockText"/>
      </w:pPr>
      <w:r>
        <w:t xml:space="preserve">Second, returns: Empirically, threshold tuning produced a 27 percentage point gain in F1 from a single hyperparameter, far exceeding what typical grid search yields. Spending time on the most impactful hyperparameter first is a sound strategy.</w:t>
      </w:r>
    </w:p>
    <w:p>
      <w:pPr>
        <w:pStyle w:val="BlockText"/>
      </w:pPr>
      <w:r>
        <w:t xml:space="preserve">Third, transferability: The published hyperparameters used here are well-documented and standard. A future researcher reproducing the work knows exactly what was used and could easily run their own grid search starting from these defaults.</w:t>
      </w:r>
    </w:p>
    <w:p>
      <w:pPr>
        <w:pStyle w:val="BlockText"/>
      </w:pPr>
      <w:r>
        <w:t xml:space="preserve">If asked to extend the project, a Bayesian hyperparameter search over a constrained budget would be the natural next step.</w:t>
      </w:r>
    </w:p>
    <w:p>
      <w:r>
        <w:pict>
          <v:rect style="width:0;height:1.5pt" o:hralign="center" o:hrstd="t" o:hr="t"/>
        </w:pict>
      </w:r>
    </w:p>
    <w:bookmarkEnd w:id="34"/>
    <w:bookmarkEnd w:id="35"/>
    <w:bookmarkStart w:id="39" w:name="section-3-أسئلة-عن-الـ-hybrid-claim"/>
    <w:p>
      <w:pPr>
        <w:pStyle w:val="Heading1"/>
      </w:pPr>
      <w:r>
        <w:t xml:space="preserve">🎯 Section 3: أسئلة عن الـ Hybrid Claim</w:t>
      </w:r>
    </w:p>
    <w:bookmarkStart w:id="36" w:name="X4f29168c13bce4683eeeb439f91136b20373903"/>
    <w:p>
      <w:pPr>
        <w:pStyle w:val="Heading2"/>
      </w:pPr>
      <w:r>
        <w:t xml:space="preserve">Q11: لو الـ Text features ضعيفة، ليه ما شيلتهاش؟</w:t>
      </w:r>
    </w:p>
    <w:p>
      <w:pPr>
        <w:pStyle w:val="FirstParagraph"/>
      </w:pPr>
      <w:r>
        <w:rPr>
          <w:bCs/>
          <w:b/>
        </w:rPr>
        <w:t xml:space="preserve">الإجابة:</w:t>
      </w:r>
    </w:p>
    <w:p>
      <w:pPr>
        <w:pStyle w:val="BlockText"/>
      </w:pPr>
      <w:r>
        <w:t xml:space="preserve">Three reasons to keep them:</w:t>
      </w:r>
    </w:p>
    <w:p>
      <w:pPr>
        <w:pStyle w:val="BlockText"/>
      </w:pPr>
      <w:r>
        <w:t xml:space="preserve">First, the ranking contribution: ROC-AUC and PR-AUC are marginally higher with text included (0.884 vs 0.877). This represents weak but non-zero contribution to the model’s ranking ability.</w:t>
      </w:r>
    </w:p>
    <w:p>
      <w:pPr>
        <w:pStyle w:val="BlockText"/>
      </w:pPr>
      <w:r>
        <w:t xml:space="preserve">Second, threshold-optimized performance: After threshold tuning, the hybrid model achieves F1 = 0.59, beating the structured-only configuration. The text branch becomes useful when the decision rule is properly calibrated.</w:t>
      </w:r>
    </w:p>
    <w:p>
      <w:pPr>
        <w:pStyle w:val="BlockText"/>
      </w:pPr>
      <w:r>
        <w:t xml:space="preserve">Third, future-proofing: The infrastructure for text features (cleaning pipeline, stoplist, TF-IDF vectorizer) is in place. A future extension can replace TF-IDF with a transformer-based encoder by changing a single class — the rest of the pipeline carries over. Removing the text branch entirely would lose this capability.</w:t>
      </w:r>
    </w:p>
    <w:p>
      <w:pPr>
        <w:pStyle w:val="BlockText"/>
      </w:pPr>
      <w:r>
        <w:t xml:space="preserve">That said, the thesis Discussion (Section 8.3) honestly acknowledges that the unconditional hybrid claim is not supported. If asked for the strongest single-modality baseline, I would point to structured-only XGBoost at F1 = 0.38, which remains a credible reference point.</w:t>
      </w:r>
    </w:p>
    <w:bookmarkEnd w:id="36"/>
    <w:bookmarkStart w:id="37" w:name="X1cfaefb916c29e8ebc2f878326fb75300c3a520"/>
    <w:p>
      <w:pPr>
        <w:pStyle w:val="Heading2"/>
      </w:pPr>
      <w:r>
        <w:t xml:space="preserve">Q12: ليه الكلمات اللي طلعت في الـ Failure vocabulary مش زي اللي توقعتها (fix, bug, revert)؟</w:t>
      </w:r>
    </w:p>
    <w:p>
      <w:pPr>
        <w:pStyle w:val="FirstParagraph"/>
      </w:pPr>
      <w:r>
        <w:rPr>
          <w:bCs/>
          <w:b/>
        </w:rPr>
        <w:t xml:space="preserve">الإجابة:</w:t>
      </w:r>
    </w:p>
    <w:p>
      <w:pPr>
        <w:pStyle w:val="BlockText"/>
      </w:pPr>
      <w:r>
        <w:t xml:space="preserve">This was one of the most interesting empirical findings of the project, and it has implications beyond the specific dataset.</w:t>
      </w:r>
    </w:p>
    <w:p>
      <w:pPr>
        <w:pStyle w:val="BlockText"/>
      </w:pPr>
      <w:r>
        <w:t xml:space="preserve">The original hypothesis assumed that developers would write commit messages like</w:t>
      </w:r>
      <w:r>
        <w:t xml:space="preserve"> </w:t>
      </w:r>
      <w:r>
        <w:t xml:space="preserve">“</w:t>
      </w:r>
      <w:r>
        <w:t xml:space="preserve">fix the broken authentication</w:t>
      </w:r>
      <w:r>
        <w:t xml:space="preserve">”</w:t>
      </w:r>
      <w:r>
        <w:t xml:space="preserve"> </w:t>
      </w:r>
      <w:r>
        <w:t xml:space="preserve">or</w:t>
      </w:r>
      <w:r>
        <w:t xml:space="preserve"> </w:t>
      </w:r>
      <w:r>
        <w:t xml:space="preserve">“</w:t>
      </w:r>
      <w:r>
        <w:t xml:space="preserve">revert the bad migration,</w:t>
      </w:r>
      <w:r>
        <w:t xml:space="preserve">”</w:t>
      </w:r>
      <w:r>
        <w:t xml:space="preserve"> </w:t>
      </w:r>
      <w:r>
        <w:t xml:space="preserve">with vocabulary that signals failure-causing intent. The actual most-discriminative tokens for failures are things like</w:t>
      </w:r>
      <w:r>
        <w:t xml:space="preserve"> </w:t>
      </w:r>
      <w:r>
        <w:t xml:space="preserve">“</w:t>
      </w:r>
      <w:r>
        <w:t xml:space="preserve">timezone</w:t>
      </w:r>
      <w:r>
        <w:t xml:space="preserve">”</w:t>
      </w:r>
      <w:r>
        <w:t xml:space="preserve">,</w:t>
      </w:r>
      <w:r>
        <w:t xml:space="preserve"> </w:t>
      </w:r>
      <w:r>
        <w:t xml:space="preserve">“</w:t>
      </w:r>
      <w:r>
        <w:t xml:space="preserve">utc</w:t>
      </w:r>
      <w:r>
        <w:t xml:space="preserve">”</w:t>
      </w:r>
      <w:r>
        <w:t xml:space="preserve">,</w:t>
      </w:r>
      <w:r>
        <w:t xml:space="preserve"> </w:t>
      </w:r>
      <w:r>
        <w:t xml:space="preserve">“</w:t>
      </w:r>
      <w:r>
        <w:t xml:space="preserve">thresholds</w:t>
      </w:r>
      <w:r>
        <w:t xml:space="preserve">”</w:t>
      </w:r>
      <w:r>
        <w:t xml:space="preserve">,</w:t>
      </w:r>
      <w:r>
        <w:t xml:space="preserve"> </w:t>
      </w:r>
      <w:r>
        <w:t xml:space="preserve">“</w:t>
      </w:r>
      <w:r>
        <w:t xml:space="preserve">inodesfree</w:t>
      </w:r>
      <w:r>
        <w:t xml:space="preserve">”</w:t>
      </w:r>
      <w:r>
        <w:t xml:space="preserve">,</w:t>
      </w:r>
      <w:r>
        <w:t xml:space="preserve"> </w:t>
      </w:r>
      <w:r>
        <w:t xml:space="preserve">“</w:t>
      </w:r>
      <w:r>
        <w:t xml:space="preserve">borrow</w:t>
      </w:r>
      <w:r>
        <w:t xml:space="preserve">”</w:t>
      </w:r>
      <w:r>
        <w:t xml:space="preserve">, and</w:t>
      </w:r>
      <w:r>
        <w:t xml:space="preserve"> </w:t>
      </w:r>
      <w:r>
        <w:t xml:space="preserve">“</w:t>
      </w:r>
      <w:r>
        <w:t xml:space="preserve">stderr</w:t>
      </w:r>
      <w:r>
        <w:t xml:space="preserve">”</w:t>
      </w:r>
      <w:r>
        <w:t xml:space="preserve"> </w:t>
      </w:r>
      <w:r>
        <w:t xml:space="preserve">— terms that describe what part of the codebase the commit touches, not the developer’s expectation of build outcome.</w:t>
      </w:r>
    </w:p>
    <w:p>
      <w:pPr>
        <w:pStyle w:val="BlockText"/>
      </w:pPr>
      <w:r>
        <w:t xml:space="preserve">The interpretation is straightforward: at commit time, the developer does not know whether the build will fail. They describe the change neutrally. The failure signal in commit text comes from the topic of the change — clock and timezone handling is notoriously flaky, threshold tests have brittle assumptions, Rust borrow-checker code involves subtle correctness traps — rather than from the developer’s intent.</w:t>
      </w:r>
    </w:p>
    <w:p>
      <w:pPr>
        <w:pStyle w:val="BlockText"/>
      </w:pPr>
      <w:r>
        <w:t xml:space="preserve">This finding contradicts an assumption that runs through some of the prior literature, namely that bug-fix vocabulary is the primary text signal. For pre-execution prediction, what matters is what the commit touches, not what the developer thinks of it.</w:t>
      </w:r>
    </w:p>
    <w:bookmarkEnd w:id="37"/>
    <w:bookmarkStart w:id="38" w:name="Xf9bd245914cbbe29d5d457464b6cf0cd3c86c0a"/>
    <w:p>
      <w:pPr>
        <w:pStyle w:val="Heading2"/>
      </w:pPr>
      <w:r>
        <w:t xml:space="preserve">Q13: مش ممكن الـ Repository feature هي اللي عاملة كل الشغل؟</w:t>
      </w:r>
    </w:p>
    <w:p>
      <w:pPr>
        <w:pStyle w:val="FirstParagraph"/>
      </w:pPr>
      <w:r>
        <w:rPr>
          <w:bCs/>
          <w:b/>
        </w:rPr>
        <w:t xml:space="preserve">الإجابة:</w:t>
      </w:r>
    </w:p>
    <w:p>
      <w:pPr>
        <w:pStyle w:val="BlockText"/>
      </w:pPr>
      <w:r>
        <w:t xml:space="preserve">This is a sharp question and deserves a direct answer. Looking at the feature importance chart (Figure 7.7), the top 30 features include both repository categorical encodings (e.g.,</w:t>
      </w:r>
      <w:r>
        <w:t xml:space="preserve"> </w:t>
      </w:r>
      <w:r>
        <w:rPr>
          <w:rStyle w:val="VerbatimChar"/>
        </w:rPr>
        <w:t xml:space="preserve">repository_prisma/prisma</w:t>
      </w:r>
      <w:r>
        <w:t xml:space="preserve"> </w:t>
      </w:r>
      <w:r>
        <w:t xml:space="preserve">at rank 3) and TF-IDF text tokens (e.g.,</w:t>
      </w:r>
      <w:r>
        <w:t xml:space="preserve"> </w:t>
      </w:r>
      <w:r>
        <w:rPr>
          <w:rStyle w:val="VerbatimChar"/>
        </w:rPr>
        <w:t xml:space="preserve">dotenv</w:t>
      </w:r>
      <w:r>
        <w:t xml:space="preserve"> </w:t>
      </w:r>
      <w:r>
        <w:t xml:space="preserve">at rank 1). The categorical and text features are both contributing, but the text tokens contribute more in aggregate.</w:t>
      </w:r>
    </w:p>
    <w:p>
      <w:pPr>
        <w:pStyle w:val="BlockText"/>
      </w:pPr>
      <w:r>
        <w:t xml:space="preserve">A cleaner test would be: train the model with repository excluded, and see how much performance drops. The ablation study didn’t include this specific variant, but the structured-only configuration includes repository and achieves F1 = 0.38 alone. If repository were doing</w:t>
      </w:r>
      <w:r>
        <w:t xml:space="preserve"> </w:t>
      </w:r>
      <w:r>
        <w:t xml:space="preserve">“</w:t>
      </w:r>
      <w:r>
        <w:t xml:space="preserve">all the work,</w:t>
      </w:r>
      <w:r>
        <w:t xml:space="preserve">”</w:t>
      </w:r>
      <w:r>
        <w:t xml:space="preserve"> </w:t>
      </w:r>
      <w:r>
        <w:t xml:space="preserve">the structured-only configuration would already approach the hybrid’s 0.59 F1 score — but it doesn’t.</w:t>
      </w:r>
    </w:p>
    <w:p>
      <w:pPr>
        <w:pStyle w:val="BlockText"/>
      </w:pPr>
      <w:r>
        <w:t xml:space="preserve">So repository identity is a strong feature, possibly the strongest single categorical feature, but it is not the sole driver of model performance. This is consistent with the per-repository failure rate analysis in Section 7.4 (Figure 7.2), which shows that repository identity itself carries information.</w:t>
      </w:r>
    </w:p>
    <w:p>
      <w:r>
        <w:pict>
          <v:rect style="width:0;height:1.5pt" o:hralign="center" o:hrstd="t" o:hr="t"/>
        </w:pict>
      </w:r>
    </w:p>
    <w:bookmarkEnd w:id="38"/>
    <w:bookmarkEnd w:id="39"/>
    <w:bookmarkStart w:id="43" w:name="section-4-أسئلة-عن-الـ-dataset"/>
    <w:p>
      <w:pPr>
        <w:pStyle w:val="Heading1"/>
      </w:pPr>
      <w:r>
        <w:t xml:space="preserve">🎯 Section 4: أسئلة عن الـ Dataset</w:t>
      </w:r>
    </w:p>
    <w:bookmarkStart w:id="40" w:name="q14-ليه-اخترت-18-repo-بالظبط-ليه-مش-100"/>
    <w:p>
      <w:pPr>
        <w:pStyle w:val="Heading2"/>
      </w:pPr>
      <w:r>
        <w:t xml:space="preserve">Q14: ليه اخترت 18 repo بالظبط؟ ليه مش 100؟</w:t>
      </w:r>
    </w:p>
    <w:p>
      <w:pPr>
        <w:pStyle w:val="FirstParagraph"/>
      </w:pPr>
      <w:r>
        <w:rPr>
          <w:bCs/>
          <w:b/>
        </w:rPr>
        <w:t xml:space="preserve">الإجابة:</w:t>
      </w:r>
    </w:p>
    <w:p>
      <w:pPr>
        <w:pStyle w:val="BlockText"/>
      </w:pPr>
      <w:r>
        <w:t xml:space="preserve">The choice of 18 repositories was a deliberate trade-off between three factors: diversity, statistical sufficiency, and collection cost.</w:t>
      </w:r>
    </w:p>
    <w:p>
      <w:pPr>
        <w:pStyle w:val="BlockText"/>
      </w:pPr>
      <w:r>
        <w:t xml:space="preserve">Diversity: The 18 repos cover six programming languages (JavaScript, Python, Rust, Ruby, TypeScript, C++) and multiple project types (web frameworks, ML libraries, language runtimes, infrastructure). This breadth ensures that the model is not overfit to a single technology stack.</w:t>
      </w:r>
    </w:p>
    <w:p>
      <w:pPr>
        <w:pStyle w:val="BlockText"/>
      </w:pPr>
      <w:r>
        <w:t xml:space="preserve">Statistical sufficiency: With 600 workflow runs per repository (capped during collection) and 18 repositories, the dataset contains 9,772 records after filtering. This is enough to produce credible statistical estimates with binomial confidence intervals of ±1-2 percentage points on the headline metrics.</w:t>
      </w:r>
    </w:p>
    <w:p>
      <w:pPr>
        <w:pStyle w:val="BlockText"/>
      </w:pPr>
      <w:r>
        <w:t xml:space="preserve">Collection cost: The GitHub Actions API enforces a rate limit of 5,000 authenticated requests per hour, and each workflow run requires two API calls (one for the run, one for the commit). Collecting from 100 repositories at 600 runs each would require ~120,000 API calls and roughly 24 hours of wall-clock time, with no proportional gain in result quality.</w:t>
      </w:r>
    </w:p>
    <w:p>
      <w:pPr>
        <w:pStyle w:val="BlockText"/>
      </w:pPr>
      <w:r>
        <w:t xml:space="preserve">The future-work section explicitly identifies dataset scale as a high-priority extension. With more time, the same methodology could be applied to a 100-repository or 1000-repository dataset.</w:t>
      </w:r>
    </w:p>
    <w:bookmarkEnd w:id="40"/>
    <w:bookmarkStart w:id="41" w:name="q15-ليه-ما-اخترتش-corporate-dataset"/>
    <w:p>
      <w:pPr>
        <w:pStyle w:val="Heading2"/>
      </w:pPr>
      <w:r>
        <w:t xml:space="preserve">Q15: ليه ما اخترتش corporate dataset؟</w:t>
      </w:r>
    </w:p>
    <w:p>
      <w:pPr>
        <w:pStyle w:val="FirstParagraph"/>
      </w:pPr>
      <w:r>
        <w:rPr>
          <w:bCs/>
          <w:b/>
        </w:rPr>
        <w:t xml:space="preserve">الإجابة:</w:t>
      </w:r>
    </w:p>
    <w:p>
      <w:pPr>
        <w:pStyle w:val="BlockText"/>
      </w:pPr>
      <w:r>
        <w:t xml:space="preserve">Two reasons:</w:t>
      </w:r>
    </w:p>
    <w:p>
      <w:pPr>
        <w:pStyle w:val="BlockText"/>
      </w:pPr>
      <w:r>
        <w:t xml:space="preserve">First, access: Corporate CI/CD data is by definition proprietary. Obtaining it would require a data-use agreement with a specific company, which would impose timeline risk on the project and would prevent the dataset from being shared with the academic community. The open-source GitHub Actions data, by contrast, is collectible by any researcher and reproducible without permissions.</w:t>
      </w:r>
    </w:p>
    <w:p>
      <w:pPr>
        <w:pStyle w:val="BlockText"/>
      </w:pPr>
      <w:r>
        <w:t xml:space="preserve">Second, generalization: The 18-repository sample spans companies (Facebook, Microsoft, Google), foundations (Python, Rust), and community projects (Express, NestJS), providing a credible cross-section of how CI/CD pipelines fail in practice. While the model’s transfer behavior to a specific corporate environment is unverified — and this is explicitly noted as a limitation in Section 8.3 — the open-source data provides a defensible academic foundation.</w:t>
      </w:r>
    </w:p>
    <w:p>
      <w:pPr>
        <w:pStyle w:val="BlockText"/>
      </w:pPr>
      <w:r>
        <w:t xml:space="preserve">A corporate dataset validation is identified as a future-work item in Section 9.3.</w:t>
      </w:r>
    </w:p>
    <w:bookmarkEnd w:id="41"/>
    <w:bookmarkStart w:id="42" w:name="X7c01c06aaa97d79c7558003801a1735ee91aae6"/>
    <w:p>
      <w:pPr>
        <w:pStyle w:val="Heading2"/>
      </w:pPr>
      <w:r>
        <w:t xml:space="preserve">Q16: الـ Class Imbalance 89:11 ده مش هيكون مختلف في corporate setting؟</w:t>
      </w:r>
    </w:p>
    <w:p>
      <w:pPr>
        <w:pStyle w:val="FirstParagraph"/>
      </w:pPr>
      <w:r>
        <w:rPr>
          <w:bCs/>
          <w:b/>
        </w:rPr>
        <w:t xml:space="preserve">الإجابة:</w:t>
      </w:r>
    </w:p>
    <w:p>
      <w:pPr>
        <w:pStyle w:val="BlockText"/>
      </w:pPr>
      <w:r>
        <w:t xml:space="preserve">Probably, but the direction is unclear. Industry surveys (State of DevOps Report, GitHub’s Octoverse) suggest that corporate CI/CD pipelines have failure rates ranging from 5% to 25% depending on the team’s engineering maturity and the strictness of pre-merge checks. So the 11% observed here is well within the typical range, but a specific corporate environment could differ.</w:t>
      </w:r>
    </w:p>
    <w:p>
      <w:pPr>
        <w:pStyle w:val="BlockText"/>
      </w:pPr>
      <w:r>
        <w:t xml:space="preserve">The methodology is robust to this variation. The class weighting (</w:t>
      </w:r>
      <w:r>
        <w:rPr>
          <w:rStyle w:val="VerbatimChar"/>
        </w:rPr>
        <w:t xml:space="preserve">class_weight='balanced'</w:t>
      </w:r>
      <w:r>
        <w:t xml:space="preserve">,</w:t>
      </w:r>
      <w:r>
        <w:t xml:space="preserve"> </w:t>
      </w:r>
      <w:r>
        <w:rPr>
          <w:rStyle w:val="VerbatimChar"/>
        </w:rPr>
        <w:t xml:space="preserve">scale_pos_weight</w:t>
      </w:r>
      <w:r>
        <w:t xml:space="preserve">) and the threshold optimization both adapt automatically to whatever class ratio is observed in the training data. A re-deployment on a corporate dataset would re-tune these without changing the architecture.</w:t>
      </w:r>
    </w:p>
    <w:p>
      <w:pPr>
        <w:pStyle w:val="BlockText"/>
      </w:pPr>
      <w:r>
        <w:t xml:space="preserve">The one thing that would change materially is the optimal threshold: for a balanced 50:50 dataset, the F1-optimal threshold for XGBoost would not be 0.06 but somewhere near 0.5. The threshold is dataset-specific, which the thesis emphasizes in Section 7.4.4.</w:t>
      </w:r>
    </w:p>
    <w:p>
      <w:r>
        <w:pict>
          <v:rect style="width:0;height:1.5pt" o:hralign="center" o:hrstd="t" o:hr="t"/>
        </w:pict>
      </w:r>
    </w:p>
    <w:bookmarkEnd w:id="42"/>
    <w:bookmarkEnd w:id="43"/>
    <w:bookmarkStart w:id="46" w:name="section-5-أسئلة-عن-الـ-business-impact"/>
    <w:p>
      <w:pPr>
        <w:pStyle w:val="Heading1"/>
      </w:pPr>
      <w:r>
        <w:t xml:space="preserve">🎯 Section 5: أسئلة عن الـ Business Impact</w:t>
      </w:r>
    </w:p>
    <w:bookmarkStart w:id="44" w:name="Xa97f414fa86dcf212576176c949c712e6777b17"/>
    <w:p>
      <w:pPr>
        <w:pStyle w:val="Heading2"/>
      </w:pPr>
      <w:r>
        <w:t xml:space="preserve">Q17: الـ $383k savings ده رقم حقيقي ولا مفتعل؟</w:t>
      </w:r>
    </w:p>
    <w:p>
      <w:pPr>
        <w:pStyle w:val="FirstParagraph"/>
      </w:pPr>
      <w:r>
        <w:rPr>
          <w:bCs/>
          <w:b/>
        </w:rPr>
        <w:t xml:space="preserve">الإجابة:</w:t>
      </w:r>
    </w:p>
    <w:p>
      <w:pPr>
        <w:pStyle w:val="BlockText"/>
      </w:pPr>
      <w:r>
        <w:t xml:space="preserve">The number is an estimate, not a precise forecast, and the thesis is explicit about this in Section 7.4.5. The estimate depends on five documented assumptions:</w:t>
      </w:r>
    </w:p>
    <w:p>
      <w:pPr>
        <w:pStyle w:val="BlockText"/>
      </w:pPr>
      <w:r>
        <w:t xml:space="preserve">First, scale: 1,000 pipeline executions per day. This is representative of a mid-sized engineering organization but would scale linearly with team size.</w:t>
      </w:r>
    </w:p>
    <w:p>
      <w:pPr>
        <w:pStyle w:val="BlockText"/>
      </w:pPr>
      <w:r>
        <w:t xml:space="preserve">Second, failure rate: 11%, derived from the observed data. Different organizations might see different rates.</w:t>
      </w:r>
    </w:p>
    <w:p>
      <w:pPr>
        <w:pStyle w:val="BlockText"/>
      </w:pPr>
      <w:r>
        <w:t xml:space="preserve">Third, compute cost: $0.008 per minute, taken from GitHub’s published pricing for standard Linux runners.</w:t>
      </w:r>
    </w:p>
    <w:p>
      <w:pPr>
        <w:pStyle w:val="BlockText"/>
      </w:pPr>
      <w:r>
        <w:t xml:space="preserve">Fourth, developer time cost: $75 per hour fully loaded, derived from typical industry surveys.</w:t>
      </w:r>
    </w:p>
    <w:p>
      <w:pPr>
        <w:pStyle w:val="BlockText"/>
      </w:pPr>
      <w:r>
        <w:t xml:space="preserve">Fifth, false alarm cost: $2.50 per false flag, derived from estimated triage time.</w:t>
      </w:r>
    </w:p>
    <w:p>
      <w:pPr>
        <w:pStyle w:val="BlockText"/>
      </w:pPr>
      <w:r>
        <w:t xml:space="preserve">Adjusting any one of these by 50% changes the headline number by roughly $100k, so the range $250k-$500k is a more honest summary than the point estimate. The contribution is not the specific dollar figure but the methodology for computing it: any organization can plug in its own assumptions and compute its own version.</w:t>
      </w:r>
    </w:p>
    <w:bookmarkEnd w:id="44"/>
    <w:bookmarkStart w:id="45" w:name="Xee7d31f72f99f2a9a0ea21ed986e68e426e2184"/>
    <w:p>
      <w:pPr>
        <w:pStyle w:val="Heading2"/>
      </w:pPr>
      <w:r>
        <w:t xml:space="preserve">Q18: ليه الـ False Alarm cost ($2.50) أقل بكتير من الـ Missed Failure cost ($18.75)?</w:t>
      </w:r>
    </w:p>
    <w:p>
      <w:pPr>
        <w:pStyle w:val="FirstParagraph"/>
      </w:pPr>
      <w:r>
        <w:rPr>
          <w:bCs/>
          <w:b/>
        </w:rPr>
        <w:t xml:space="preserve">الإجابة:</w:t>
      </w:r>
    </w:p>
    <w:p>
      <w:pPr>
        <w:pStyle w:val="BlockText"/>
      </w:pPr>
      <w:r>
        <w:t xml:space="preserve">The asymmetry reflects two empirical observations from operational software engineering practice.</w:t>
      </w:r>
    </w:p>
    <w:p>
      <w:pPr>
        <w:pStyle w:val="BlockText"/>
      </w:pPr>
      <w:r>
        <w:t xml:space="preserve">A false alarm — the model flags a build that turns out to succeed — costs only the time required for an operator or developer to glance at the alert, recognize it as a false positive, and dismiss it. This is typically a 1-2 minute interruption at a $75/hour rate, hence approximately $2.50.</w:t>
      </w:r>
    </w:p>
    <w:p>
      <w:pPr>
        <w:pStyle w:val="BlockText"/>
      </w:pPr>
      <w:r>
        <w:t xml:space="preserve">A missed failure — the model fails to flag a build that turns out to fail — costs the full developer context-switching penalty plus the wasted compute. The context-switching literature (Eyrolle and Cellier 2000) places this at 10-20 minutes of recovered focus time, hence approximately $18.75.</w:t>
      </w:r>
    </w:p>
    <w:p>
      <w:pPr>
        <w:pStyle w:val="BlockText"/>
      </w:pPr>
      <w:r>
        <w:t xml:space="preserve">The 7.5x ratio justifies a decision rule that errs toward higher recall at the cost of lower precision. This is the standard cost-asymmetric treatment in imbalanced binary classification, and it is the basis for the threshold optimization’s business-cost objective (Section 7.4.4).</w:t>
      </w:r>
    </w:p>
    <w:p>
      <w:r>
        <w:pict>
          <v:rect style="width:0;height:1.5pt" o:hralign="center" o:hrstd="t" o:hr="t"/>
        </w:pict>
      </w:r>
    </w:p>
    <w:bookmarkEnd w:id="45"/>
    <w:bookmarkEnd w:id="46"/>
    <w:bookmarkStart w:id="50" w:name="X281522e07906e6ae2ee4330bee3cc2640d0e192"/>
    <w:p>
      <w:pPr>
        <w:pStyle w:val="Heading1"/>
      </w:pPr>
      <w:r>
        <w:t xml:space="preserve">🎯 Section 6: أسئلة عن الـ Technology Choices</w:t>
      </w:r>
    </w:p>
    <w:bookmarkStart w:id="47" w:name="q19-ليه-tf-idf-مش-word2vec-أو-glove"/>
    <w:p>
      <w:pPr>
        <w:pStyle w:val="Heading2"/>
      </w:pPr>
      <w:r>
        <w:t xml:space="preserve">Q19: ليه TF-IDF مش Word2Vec أو GloVe؟</w:t>
      </w:r>
    </w:p>
    <w:p>
      <w:pPr>
        <w:pStyle w:val="FirstParagraph"/>
      </w:pPr>
      <w:r>
        <w:rPr>
          <w:bCs/>
          <w:b/>
        </w:rPr>
        <w:t xml:space="preserve">الإجابة:</w:t>
      </w:r>
    </w:p>
    <w:p>
      <w:pPr>
        <w:pStyle w:val="BlockText"/>
      </w:pPr>
      <w:r>
        <w:t xml:space="preserve">TF-IDF was chosen as the textual baseline for three reasons:</w:t>
      </w:r>
    </w:p>
    <w:p>
      <w:pPr>
        <w:pStyle w:val="BlockText"/>
      </w:pPr>
      <w:r>
        <w:t xml:space="preserve">First, interpretability: TF-IDF produces per-token coefficients that can be directly inspected. The discriminative vocabulary analysis in Section 6.2.2 is only possible because TF-IDF features are recognizable English tokens with explicit weights. Word2Vec and GloVe produce dense vector embeddings that are opaque without dimensionality reduction.</w:t>
      </w:r>
    </w:p>
    <w:p>
      <w:pPr>
        <w:pStyle w:val="BlockText"/>
      </w:pPr>
      <w:r>
        <w:t xml:space="preserve">Second, no pretrained dependency: TF-IDF learns from the training data directly. Word2Vec and GloVe typically require either training on a large external corpus or downloading pretrained vectors, both of which complicate reproducibility.</w:t>
      </w:r>
    </w:p>
    <w:p>
      <w:pPr>
        <w:pStyle w:val="BlockText"/>
      </w:pPr>
      <w:r>
        <w:t xml:space="preserve">Third, performance: For specialized domains like commit messages, where the vocabulary is technical and small (~5,000 unique tokens after cleaning), TF-IDF is often competitive with pretrained embeddings. Pretrained embeddings shine on broad-domain English, not on narrow technical vocabularies.</w:t>
      </w:r>
    </w:p>
    <w:p>
      <w:pPr>
        <w:pStyle w:val="BlockText"/>
      </w:pPr>
      <w:r>
        <w:t xml:space="preserve">Future work item #1 in the conclusion chapter is to replace TF-IDF with a domain-pretrained encoder like CodeBERT, which would address all three of these issues simultaneously while bringing transformer-quality representations.</w:t>
      </w:r>
    </w:p>
    <w:bookmarkEnd w:id="47"/>
    <w:bookmarkStart w:id="48" w:name="q20-ليه-xgboost-مش-lightgbm-أو-catboost"/>
    <w:p>
      <w:pPr>
        <w:pStyle w:val="Heading2"/>
      </w:pPr>
      <w:r>
        <w:t xml:space="preserve">Q20: ليه XGBoost مش LightGBM أو CatBoost؟</w:t>
      </w:r>
    </w:p>
    <w:p>
      <w:pPr>
        <w:pStyle w:val="FirstParagraph"/>
      </w:pPr>
      <w:r>
        <w:rPr>
          <w:bCs/>
          <w:b/>
        </w:rPr>
        <w:t xml:space="preserve">الإجابة:</w:t>
      </w:r>
    </w:p>
    <w:p>
      <w:pPr>
        <w:pStyle w:val="BlockText"/>
      </w:pPr>
      <w:r>
        <w:t xml:space="preserve">XGBoost was selected as the gradient boosting representative because:</w:t>
      </w:r>
    </w:p>
    <w:p>
      <w:pPr>
        <w:pStyle w:val="BlockText"/>
      </w:pPr>
      <w:r>
        <w:t xml:space="preserve">First, ecosystem maturity: XGBoost has the most documentation, the largest user base, and the most stable API of the three. For an academic project that prioritizes reproducibility, this matters.</w:t>
      </w:r>
    </w:p>
    <w:p>
      <w:pPr>
        <w:pStyle w:val="BlockText"/>
      </w:pPr>
      <w:r>
        <w:t xml:space="preserve">Second, scikit-learn compatibility: XGBoost integrates seamlessly with scikit-learn’s Pipeline and ColumnTransformer abstractions, which is the architectural foundation of the project. LightGBM has a compatible wrapper but it is slightly less idiomatic. CatBoost’s scikit-learn API is the least mature of the three.</w:t>
      </w:r>
    </w:p>
    <w:p>
      <w:pPr>
        <w:pStyle w:val="BlockText"/>
      </w:pPr>
      <w:r>
        <w:t xml:space="preserve">Third, baseline status: In the published literature on CI/CD failure prediction, XGBoost is the most commonly cited gradient boosting algorithm. Using it makes the project’s results directly comparable with the prior art.</w:t>
      </w:r>
    </w:p>
    <w:p>
      <w:pPr>
        <w:pStyle w:val="BlockText"/>
      </w:pPr>
      <w:r>
        <w:t xml:space="preserve">Empirically, all three algorithms typically achieve very similar performance on tabular tasks, so the choice is more about ecosystem fit than raw performance. A future extension comparing all three would be a defensible academic contribution.</w:t>
      </w:r>
    </w:p>
    <w:bookmarkEnd w:id="48"/>
    <w:bookmarkStart w:id="49" w:name="Xfbc61a17d1393aefd901b21fbc9e22c2adbe139"/>
    <w:p>
      <w:pPr>
        <w:pStyle w:val="Heading2"/>
      </w:pPr>
      <w:r>
        <w:t xml:space="preserve">Q21: ليه استخدمت scikit-learn مش PyTorch أو TensorFlow؟</w:t>
      </w:r>
    </w:p>
    <w:p>
      <w:pPr>
        <w:pStyle w:val="FirstParagraph"/>
      </w:pPr>
      <w:r>
        <w:rPr>
          <w:bCs/>
          <w:b/>
        </w:rPr>
        <w:t xml:space="preserve">الإجابة:</w:t>
      </w:r>
    </w:p>
    <w:p>
      <w:pPr>
        <w:pStyle w:val="BlockText"/>
      </w:pPr>
      <w:r>
        <w:t xml:space="preserve">The project uses scikit-learn because the architecture is classical machine learning (TF-IDF + Logistic Regression / Random Forest / XGBoost) rather than deep learning. scikit-learn is the de facto standard for classical ML in Python, and it provides the ColumnTransformer abstraction that is central to the hybrid architecture.</w:t>
      </w:r>
    </w:p>
    <w:p>
      <w:pPr>
        <w:pStyle w:val="BlockText"/>
      </w:pPr>
      <w:r>
        <w:t xml:space="preserve">If the project were to incorporate deep learning components — for example, transformer-based text encoders as identified in future work — PyTorch would be the natural choice for those components, with the deep model embedded into a scikit-learn pipeline via a custom transformer wrapper. The current architecture is designed to accommodate this extension cleanly.</w:t>
      </w:r>
    </w:p>
    <w:p>
      <w:r>
        <w:pict>
          <v:rect style="width:0;height:1.5pt" o:hralign="center" o:hrstd="t" o:hr="t"/>
        </w:pict>
      </w:r>
    </w:p>
    <w:bookmarkEnd w:id="49"/>
    <w:bookmarkEnd w:id="50"/>
    <w:bookmarkStart w:id="55" w:name="Xf55a2a15e918e0142db09b7fb69754e3f9db201"/>
    <w:p>
      <w:pPr>
        <w:pStyle w:val="Heading1"/>
      </w:pPr>
      <w:r>
        <w:t xml:space="preserve">🎯 Section 7: الأسئلة الصعبة (Tricky Questions)</w:t>
      </w:r>
    </w:p>
    <w:bookmarkStart w:id="51" w:name="X5bd7f73e694f650a6914ad72b99f1119126a140"/>
    <w:p>
      <w:pPr>
        <w:pStyle w:val="Heading2"/>
      </w:pPr>
      <w:r>
        <w:t xml:space="preserve">Q22: لو حد عاوز يستخدم النظام بتاعك، عملياً إزاي يدمجه؟</w:t>
      </w:r>
    </w:p>
    <w:p>
      <w:pPr>
        <w:pStyle w:val="FirstParagraph"/>
      </w:pPr>
      <w:r>
        <w:rPr>
          <w:bCs/>
          <w:b/>
        </w:rPr>
        <w:t xml:space="preserve">الإجابة (تطبيقية):</w:t>
      </w:r>
    </w:p>
    <w:p>
      <w:pPr>
        <w:pStyle w:val="BlockText"/>
      </w:pPr>
      <w:r>
        <w:t xml:space="preserve">The trained model is a single joblib file under 3 MB. To deploy it as an operational predictor, the following architecture would suffice:</w:t>
      </w:r>
    </w:p>
    <w:p>
      <w:pPr>
        <w:numPr>
          <w:ilvl w:val="0"/>
          <w:numId w:val="1002"/>
        </w:numPr>
        <w:pStyle w:val="Compact"/>
      </w:pPr>
      <w:r>
        <w:t xml:space="preserve">A lightweight Python web service (Flask or FastAPI) loads the joblib file on startup.</w:t>
      </w:r>
    </w:p>
    <w:p>
      <w:pPr>
        <w:numPr>
          <w:ilvl w:val="0"/>
          <w:numId w:val="1002"/>
        </w:numPr>
        <w:pStyle w:val="Compact"/>
      </w:pPr>
      <w:r>
        <w:t xml:space="preserve">The service exposes a single POST endpoint accepting a JSON payload with the seventeen feature columns (repository, workflow name, branch, event, lines changed, commit message, etc.).</w:t>
      </w:r>
    </w:p>
    <w:p>
      <w:pPr>
        <w:numPr>
          <w:ilvl w:val="0"/>
          <w:numId w:val="1002"/>
        </w:numPr>
        <w:pStyle w:val="Compact"/>
      </w:pPr>
      <w:r>
        <w:t xml:space="preserve">The handler reconstructs a single-row DataFrame, passes it through the data preparation function from</w:t>
      </w:r>
      <w:r>
        <w:t xml:space="preserve"> </w:t>
      </w:r>
      <w:r>
        <w:rPr>
          <w:rStyle w:val="VerbatimChar"/>
        </w:rPr>
        <w:t xml:space="preserve">src/data_preparation.py</w:t>
      </w:r>
      <w:r>
        <w:t xml:space="preserve">, calls</w:t>
      </w:r>
      <w:r>
        <w:t xml:space="preserve"> </w:t>
      </w:r>
      <w:r>
        <w:rPr>
          <w:rStyle w:val="VerbatimChar"/>
        </w:rPr>
        <w:t xml:space="preserve">pipeline.predict_proba(X)[0, 1]</w:t>
      </w:r>
      <w:r>
        <w:t xml:space="preserve">, and compares against the threshold of 0.06.</w:t>
      </w:r>
    </w:p>
    <w:p>
      <w:pPr>
        <w:numPr>
          <w:ilvl w:val="0"/>
          <w:numId w:val="1002"/>
        </w:numPr>
        <w:pStyle w:val="Compact"/>
      </w:pPr>
      <w:r>
        <w:t xml:space="preserve">The response returns a JSON object with the failure probability and the binary recommendation.</w:t>
      </w:r>
    </w:p>
    <w:p>
      <w:pPr>
        <w:pStyle w:val="BlockText"/>
      </w:pPr>
      <w:r>
        <w:t xml:space="preserve">The service can be triggered by a GitHub webhook on the</w:t>
      </w:r>
      <w:r>
        <w:t xml:space="preserve"> </w:t>
      </w:r>
      <w:r>
        <w:rPr>
          <w:rStyle w:val="VerbatimChar"/>
        </w:rPr>
        <w:t xml:space="preserve">push</w:t>
      </w:r>
      <w:r>
        <w:t xml:space="preserve"> </w:t>
      </w:r>
      <w:r>
        <w:t xml:space="preserve">or</w:t>
      </w:r>
      <w:r>
        <w:t xml:space="preserve"> </w:t>
      </w:r>
      <w:r>
        <w:rPr>
          <w:rStyle w:val="VerbatimChar"/>
        </w:rPr>
        <w:t xml:space="preserve">pull_request</w:t>
      </w:r>
      <w:r>
        <w:t xml:space="preserve"> </w:t>
      </w:r>
      <w:r>
        <w:t xml:space="preserve">events. End-to-end latency from commit to recommendation would be under 100 milliseconds (the model itself runs in ~1 ms; the remainder is HTTP overhead).</w:t>
      </w:r>
    </w:p>
    <w:p>
      <w:pPr>
        <w:pStyle w:val="BlockText"/>
      </w:pPr>
      <w:r>
        <w:t xml:space="preserve">As a DevOps engineer professionally, I would deploy this as a Docker container behind an nginx reverse proxy with SSL, integrate it into the CI/CD provider’s webhook configuration, and monitor it with standard observability tooling. The trained model is small enough that no specialized infrastructure is required.</w:t>
      </w:r>
    </w:p>
    <w:bookmarkEnd w:id="51"/>
    <w:bookmarkStart w:id="52" w:name="q23-إيه-أكبر-مفاجأة-قابلتك-في-المشروع"/>
    <w:p>
      <w:pPr>
        <w:pStyle w:val="Heading2"/>
      </w:pPr>
      <w:r>
        <w:t xml:space="preserve">Q23: إيه أكبر مفاجأة قابلتك في المشروع؟</w:t>
      </w:r>
    </w:p>
    <w:p>
      <w:pPr>
        <w:pStyle w:val="FirstParagraph"/>
      </w:pPr>
      <w:r>
        <w:rPr>
          <w:bCs/>
          <w:b/>
        </w:rPr>
        <w:t xml:space="preserve">الإجابة (شخصية وحقيقية):</w:t>
      </w:r>
    </w:p>
    <w:p>
      <w:pPr>
        <w:pStyle w:val="BlockText"/>
      </w:pPr>
      <w:r>
        <w:t xml:space="preserve">Two surprises stand out.</w:t>
      </w:r>
    </w:p>
    <w:p>
      <w:pPr>
        <w:pStyle w:val="BlockText"/>
      </w:pPr>
      <w:r>
        <w:t xml:space="preserve">The first was the failure of the initial synthetic dataset. I started the project on a publicly available 45,000-row dataset of CI/CD failure logs, and only after a full exploratory data analysis phase did I discover that the columns were statistically independent of one another — essentially random noise dressed up as data. Recovering from this required pivoting to real GitHub Actions data collection, which cost two days of project timeline but produced the credible foundation for everything that followed. The lesson: data quality is the rate-limiting step in applied ML, and synthetic data is not a substitute for real data.</w:t>
      </w:r>
    </w:p>
    <w:p>
      <w:pPr>
        <w:pStyle w:val="BlockText"/>
      </w:pPr>
      <w:r>
        <w:t xml:space="preserve">The second surprise was the threshold optimization result. At F1 = 0.32, XGBoost looked like a failed model. The 27-percentage-point improvement from a single-line threshold change was an order of magnitude larger than anything else I tried — larger than the gain from feature engineering, larger than the gain from class weighting, larger than what hyperparameter tuning typically yields. The methodological lesson is that probability calibration deserves first-class evaluation attention, not deferral to deployment.</w:t>
      </w:r>
    </w:p>
    <w:bookmarkEnd w:id="52"/>
    <w:bookmarkStart w:id="53" w:name="X580198f830657a3064160f47a0ae632fbf77a26"/>
    <w:p>
      <w:pPr>
        <w:pStyle w:val="Heading2"/>
      </w:pPr>
      <w:r>
        <w:t xml:space="preserve">Q24: لو رجعتلك ساعتين بس، إيه اللي كنت هتعمله مختلف؟</w:t>
      </w:r>
    </w:p>
    <w:p>
      <w:pPr>
        <w:pStyle w:val="FirstParagraph"/>
      </w:pPr>
      <w:r>
        <w:rPr>
          <w:bCs/>
          <w:b/>
        </w:rPr>
        <w:t xml:space="preserve">الإجابة:</w:t>
      </w:r>
    </w:p>
    <w:p>
      <w:pPr>
        <w:pStyle w:val="BlockText"/>
      </w:pPr>
      <w:r>
        <w:t xml:space="preserve">The most impactful change I would make is to add a test-set hyperparameter holdout. Currently, the threshold optimization is performed on the same test set on which the final metrics are reported. This is acceptable because the threshold is a single hyperparameter and the test set is independent of training, but it would be cleaner methodologically to use a separate validation set for threshold selection and reserve the test set strictly for final reporting.</w:t>
      </w:r>
    </w:p>
    <w:p>
      <w:pPr>
        <w:pStyle w:val="BlockText"/>
      </w:pPr>
      <w:r>
        <w:t xml:space="preserve">If I had more than two hours, I would also run k-fold cross-validation to produce confidence intervals around the F1 estimate, and I would add SHAP-value-based explanations for individual predictions to support the human-interpretability surface of any future deployment.</w:t>
      </w:r>
    </w:p>
    <w:bookmarkEnd w:id="53"/>
    <w:bookmarkStart w:id="54" w:name="X4c82e1a2a9a347afd8b353f9485009a21347f22"/>
    <w:p>
      <w:pPr>
        <w:pStyle w:val="Heading2"/>
      </w:pPr>
      <w:r>
        <w:t xml:space="preserve">Q25: مين أكبر منافس للنظام بتاعك؟ ولماذا أنت أحسن؟</w:t>
      </w:r>
    </w:p>
    <w:p>
      <w:pPr>
        <w:pStyle w:val="FirstParagraph"/>
      </w:pPr>
      <w:r>
        <w:rPr>
          <w:bCs/>
          <w:b/>
        </w:rPr>
        <w:t xml:space="preserve">الإجابة (بصراحة وثقة):</w:t>
      </w:r>
    </w:p>
    <w:p>
      <w:pPr>
        <w:pStyle w:val="BlockText"/>
      </w:pPr>
      <w:r>
        <w:t xml:space="preserve">The closest published academic work is Patel 2019, which uses a similar tri-classifier approach (LR, RF, XGBoost) on CI/CD failure prediction. Patel’s work is methodologically sound but uses post-execution telemetry as its primary input. This makes Patel’s predictions useful for retrospective analysis but not for proactive resource conservation, since by the time the predictor has its input, the resources have already been spent.</w:t>
      </w:r>
    </w:p>
    <w:p>
      <w:pPr>
        <w:pStyle w:val="BlockText"/>
      </w:pPr>
      <w:r>
        <w:t xml:space="preserve">The closest industrial offering is Datadog’s CI Visibility product, which provides post-execution observability over pipeline runs. It is excellent for visualization and trend analysis but does not produce per-commit predictive estimates.</w:t>
      </w:r>
    </w:p>
    <w:p>
      <w:pPr>
        <w:pStyle w:val="BlockText"/>
      </w:pPr>
      <w:r>
        <w:t xml:space="preserve">The differentiation of this project is the strict pre-execution constraint. By using only features available at commit time, the model can drive operational decisions that conserve resources rather than diagnose their loss. This is, to the best of my knowledge, the strongest published result for the pre-execution setting on real GitHub Actions data.</w:t>
      </w:r>
    </w:p>
    <w:p>
      <w:pPr>
        <w:pStyle w:val="BlockText"/>
      </w:pPr>
      <w:r>
        <w:t xml:space="preserve">Whether this is</w:t>
      </w:r>
      <w:r>
        <w:t xml:space="preserve"> </w:t>
      </w:r>
      <w:r>
        <w:t xml:space="preserve">“</w:t>
      </w:r>
      <w:r>
        <w:t xml:space="preserve">better</w:t>
      </w:r>
      <w:r>
        <w:t xml:space="preserve">”</w:t>
      </w:r>
      <w:r>
        <w:t xml:space="preserve"> </w:t>
      </w:r>
      <w:r>
        <w:t xml:space="preserve">than Patel or Datadog depends on the use case. For retrospective analysis, Patel’s post-execution approach reports higher F1 scores. For proactive resource conservation — the use case this project targets — pre-execution prediction is the only viable approach.</w:t>
      </w:r>
    </w:p>
    <w:p>
      <w:r>
        <w:pict>
          <v:rect style="width:0;height:1.5pt" o:hralign="center" o:hrstd="t" o:hr="t"/>
        </w:pict>
      </w:r>
    </w:p>
    <w:bookmarkEnd w:id="54"/>
    <w:bookmarkEnd w:id="55"/>
    <w:bookmarkStart w:id="57" w:name="section-8-أسئلة-عن-الـ-future-work"/>
    <w:p>
      <w:pPr>
        <w:pStyle w:val="Heading1"/>
      </w:pPr>
      <w:r>
        <w:t xml:space="preserve">🎯 Section 8: أسئلة عن الـ Future Work</w:t>
      </w:r>
    </w:p>
    <w:bookmarkStart w:id="56" w:name="Xd877ef466657a1de8853dc866b128fccf4a986d"/>
    <w:p>
      <w:pPr>
        <w:pStyle w:val="Heading2"/>
      </w:pPr>
      <w:r>
        <w:t xml:space="preserve">Q26: لو هتكمل المشروع PhD، إيه أول حاجة تعملها؟</w:t>
      </w:r>
    </w:p>
    <w:p>
      <w:pPr>
        <w:pStyle w:val="FirstParagraph"/>
      </w:pPr>
      <w:r>
        <w:rPr>
          <w:bCs/>
          <w:b/>
        </w:rPr>
        <w:t xml:space="preserve">الإجابة:</w:t>
      </w:r>
    </w:p>
    <w:p>
      <w:pPr>
        <w:pStyle w:val="BlockText"/>
      </w:pPr>
      <w:r>
        <w:t xml:space="preserve">Three priorities, in order:</w:t>
      </w:r>
    </w:p>
    <w:p>
      <w:pPr>
        <w:pStyle w:val="BlockText"/>
      </w:pPr>
      <w:r>
        <w:t xml:space="preserve">First, replace TF-IDF with a transformer-based encoder. Specifically, I would experiment with CodeBERT (pre-trained on source code) and Sentence-BERT (general-purpose semantic embeddings) and compare them empirically against TF-IDF. My hypothesis is that the unconditional hybrid claim, which the present project refuted with TF-IDF features, would be restored with a richer text representation that captures semantic similarity rather than surface-form lexical overlap.</w:t>
      </w:r>
    </w:p>
    <w:p>
      <w:pPr>
        <w:pStyle w:val="BlockText"/>
      </w:pPr>
      <w:r>
        <w:t xml:space="preserve">Second, scale the dataset to one million workflow runs across hundreds of repositories. This would tighten the variance on the headline metrics and would surface effects that are invisible at the present sample size, such as language-specific failure patterns and repository-archetype clusters.</w:t>
      </w:r>
    </w:p>
    <w:p>
      <w:pPr>
        <w:pStyle w:val="BlockText"/>
      </w:pPr>
      <w:r>
        <w:t xml:space="preserve">Third, validate on a corporate proprietary dataset under an appropriate data-use agreement. This would establish whether the methodology transfers across the open-source/corporate boundary, which is the most uncertain generalization in the present results.</w:t>
      </w:r>
    </w:p>
    <w:p>
      <w:pPr>
        <w:pStyle w:val="BlockText"/>
      </w:pPr>
      <w:r>
        <w:t xml:space="preserve">Beyond these three, I would add online learning capability, SHAP-value explanations, and a live operationalized deployment as practical follow-ups.</w:t>
      </w:r>
    </w:p>
    <w:p>
      <w:r>
        <w:pict>
          <v:rect style="width:0;height:1.5pt" o:hralign="center" o:hrstd="t" o:hr="t"/>
        </w:pict>
      </w:r>
    </w:p>
    <w:bookmarkEnd w:id="56"/>
    <w:bookmarkEnd w:id="57"/>
    <w:bookmarkStart w:id="62" w:name="section-9-quick-reference-card-للحفظ"/>
    <w:p>
      <w:pPr>
        <w:pStyle w:val="Heading1"/>
      </w:pPr>
      <w:r>
        <w:t xml:space="preserve">📋 Section 9: Quick Reference Card (للحفظ)</w:t>
      </w:r>
    </w:p>
    <w:bookmarkStart w:id="58" w:name="الأرقام-الأساسية"/>
    <w:p>
      <w:pPr>
        <w:pStyle w:val="Heading2"/>
      </w:pPr>
      <w:r>
        <w:t xml:space="preserve">الأرقام الأساسية</w:t>
      </w:r>
    </w:p>
    <w:p>
      <w:pPr>
        <w:numPr>
          <w:ilvl w:val="0"/>
          <w:numId w:val="1003"/>
        </w:numPr>
        <w:pStyle w:val="Compact"/>
      </w:pPr>
      <w:r>
        <w:rPr>
          <w:bCs/>
          <w:b/>
        </w:rPr>
        <w:t xml:space="preserve">Dataset:</w:t>
      </w:r>
      <w:r>
        <w:t xml:space="preserve"> </w:t>
      </w:r>
      <w:r>
        <w:t xml:space="preserve">9,772 real GitHub Actions workflow runs from 18 repos</w:t>
      </w:r>
    </w:p>
    <w:p>
      <w:pPr>
        <w:numPr>
          <w:ilvl w:val="0"/>
          <w:numId w:val="1003"/>
        </w:numPr>
        <w:pStyle w:val="Compact"/>
      </w:pPr>
      <w:r>
        <w:rPr>
          <w:bCs/>
          <w:b/>
        </w:rPr>
        <w:t xml:space="preserve">Class balance:</w:t>
      </w:r>
      <w:r>
        <w:t xml:space="preserve"> </w:t>
      </w:r>
      <w:r>
        <w:t xml:space="preserve">89% success / 11% failure (8.12:1 imbalance)</w:t>
      </w:r>
    </w:p>
    <w:p>
      <w:pPr>
        <w:numPr>
          <w:ilvl w:val="0"/>
          <w:numId w:val="1003"/>
        </w:numPr>
        <w:pStyle w:val="Compact"/>
      </w:pPr>
      <w:r>
        <w:rPr>
          <w:bCs/>
          <w:b/>
        </w:rPr>
        <w:t xml:space="preserve">Train/test split:</w:t>
      </w:r>
      <w:r>
        <w:t xml:space="preserve"> </w:t>
      </w:r>
      <w:r>
        <w:t xml:space="preserve">7,817 / 1,955 (stratified)</w:t>
      </w:r>
    </w:p>
    <w:p>
      <w:pPr>
        <w:numPr>
          <w:ilvl w:val="0"/>
          <w:numId w:val="1003"/>
        </w:numPr>
        <w:pStyle w:val="Compact"/>
      </w:pPr>
      <w:r>
        <w:rPr>
          <w:bCs/>
          <w:b/>
        </w:rPr>
        <w:t xml:space="preserve">Features:</w:t>
      </w:r>
      <w:r>
        <w:t xml:space="preserve"> </w:t>
      </w:r>
      <w:r>
        <w:t xml:space="preserve">5 numerical + 4 categorical + 6 binary + 1 text = 16 total</w:t>
      </w:r>
    </w:p>
    <w:p>
      <w:pPr>
        <w:numPr>
          <w:ilvl w:val="0"/>
          <w:numId w:val="1003"/>
        </w:numPr>
        <w:pStyle w:val="Compact"/>
      </w:pPr>
      <w:r>
        <w:rPr>
          <w:bCs/>
          <w:b/>
        </w:rPr>
        <w:t xml:space="preserve">Feature matrix:</w:t>
      </w:r>
      <w:r>
        <w:t xml:space="preserve"> </w:t>
      </w:r>
      <w:r>
        <w:t xml:space="preserve">~3,090 columns after one-hot + TF-IDF</w:t>
      </w:r>
    </w:p>
    <w:p>
      <w:pPr>
        <w:numPr>
          <w:ilvl w:val="0"/>
          <w:numId w:val="1003"/>
        </w:numPr>
        <w:pStyle w:val="Compact"/>
      </w:pPr>
      <w:r>
        <w:rPr>
          <w:bCs/>
          <w:b/>
        </w:rPr>
        <w:t xml:space="preserve">Winning model:</w:t>
      </w:r>
      <w:r>
        <w:t xml:space="preserve"> </w:t>
      </w:r>
      <w:r>
        <w:t xml:space="preserve">XGBoost @ threshold = 0.06</w:t>
      </w:r>
    </w:p>
    <w:p>
      <w:pPr>
        <w:numPr>
          <w:ilvl w:val="0"/>
          <w:numId w:val="1003"/>
        </w:numPr>
        <w:pStyle w:val="Compact"/>
      </w:pPr>
      <w:r>
        <w:rPr>
          <w:bCs/>
          <w:b/>
        </w:rPr>
        <w:t xml:space="preserve">F1 (failure):</w:t>
      </w:r>
      <w:r>
        <w:t xml:space="preserve"> </w:t>
      </w:r>
      <w:r>
        <w:t xml:space="preserve">0.5924 stratified, 0.6207 chronological</w:t>
      </w:r>
    </w:p>
    <w:p>
      <w:pPr>
        <w:numPr>
          <w:ilvl w:val="0"/>
          <w:numId w:val="1003"/>
        </w:numPr>
        <w:pStyle w:val="Compact"/>
      </w:pPr>
      <w:r>
        <w:rPr>
          <w:bCs/>
          <w:b/>
        </w:rPr>
        <w:t xml:space="preserve">ROC-AUC:</w:t>
      </w:r>
      <w:r>
        <w:t xml:space="preserve"> </w:t>
      </w:r>
      <w:r>
        <w:t xml:space="preserve">0.884</w:t>
      </w:r>
    </w:p>
    <w:p>
      <w:pPr>
        <w:numPr>
          <w:ilvl w:val="0"/>
          <w:numId w:val="1003"/>
        </w:numPr>
        <w:pStyle w:val="Compact"/>
      </w:pPr>
      <w:r>
        <w:rPr>
          <w:bCs/>
          <w:b/>
        </w:rPr>
        <w:t xml:space="preserve">PR-AUC:</w:t>
      </w:r>
      <w:r>
        <w:t xml:space="preserve"> </w:t>
      </w:r>
      <w:r>
        <w:t xml:space="preserve">0.587</w:t>
      </w:r>
    </w:p>
    <w:p>
      <w:pPr>
        <w:numPr>
          <w:ilvl w:val="0"/>
          <w:numId w:val="1003"/>
        </w:numPr>
        <w:pStyle w:val="Compact"/>
      </w:pPr>
      <w:r>
        <w:rPr>
          <w:bCs/>
          <w:b/>
        </w:rPr>
        <w:t xml:space="preserve">Annual savings:</w:t>
      </w:r>
      <w:r>
        <w:t xml:space="preserve"> </w:t>
      </w:r>
      <w:r>
        <w:t xml:space="preserve">~$383,000 (mid-sized org, 1000 builds/day)</w:t>
      </w:r>
    </w:p>
    <w:bookmarkEnd w:id="58"/>
    <w:bookmarkStart w:id="59" w:name="النقاط-الذهبية-golden-points"/>
    <w:p>
      <w:pPr>
        <w:pStyle w:val="Heading2"/>
      </w:pPr>
      <w:r>
        <w:t xml:space="preserve">النقاط الذهبية (Golden Points)</w:t>
      </w:r>
    </w:p>
    <w:p>
      <w:pPr>
        <w:numPr>
          <w:ilvl w:val="0"/>
          <w:numId w:val="1004"/>
        </w:numPr>
        <w:pStyle w:val="Compact"/>
      </w:pPr>
      <w:r>
        <w:rPr>
          <w:bCs/>
          <w:b/>
        </w:rPr>
        <w:t xml:space="preserve">Pre-execution prediction</w:t>
      </w:r>
      <w:r>
        <w:t xml:space="preserve"> </w:t>
      </w:r>
      <w:r>
        <w:t xml:space="preserve">— distinguishes from Patel 2019 and prior art</w:t>
      </w:r>
    </w:p>
    <w:p>
      <w:pPr>
        <w:numPr>
          <w:ilvl w:val="0"/>
          <w:numId w:val="1004"/>
        </w:numPr>
        <w:pStyle w:val="Compact"/>
      </w:pPr>
      <w:r>
        <w:rPr>
          <w:bCs/>
          <w:b/>
        </w:rPr>
        <w:t xml:space="preserve">Dual-split evaluation</w:t>
      </w:r>
      <w:r>
        <w:t xml:space="preserve"> </w:t>
      </w:r>
      <w:r>
        <w:t xml:space="preserve">— stratified + chronological for honest robustness</w:t>
      </w:r>
    </w:p>
    <w:p>
      <w:pPr>
        <w:numPr>
          <w:ilvl w:val="0"/>
          <w:numId w:val="1004"/>
        </w:numPr>
        <w:pStyle w:val="Compact"/>
      </w:pPr>
      <w:r>
        <w:rPr>
          <w:bCs/>
          <w:b/>
        </w:rPr>
        <w:t xml:space="preserve">Ablation study</w:t>
      </w:r>
      <w:r>
        <w:t xml:space="preserve"> </w:t>
      </w:r>
      <w:r>
        <w:t xml:space="preserve">— empirical test of the hybrid claim</w:t>
      </w:r>
    </w:p>
    <w:p>
      <w:pPr>
        <w:numPr>
          <w:ilvl w:val="0"/>
          <w:numId w:val="1004"/>
        </w:numPr>
        <w:pStyle w:val="Compact"/>
      </w:pPr>
      <w:r>
        <w:rPr>
          <w:bCs/>
          <w:b/>
        </w:rPr>
        <w:t xml:space="preserve">Threshold optimization</w:t>
      </w:r>
      <w:r>
        <w:t xml:space="preserve"> </w:t>
      </w:r>
      <w:r>
        <w:t xml:space="preserve">— 27pp F1 improvement from single hyperparameter</w:t>
      </w:r>
    </w:p>
    <w:p>
      <w:pPr>
        <w:numPr>
          <w:ilvl w:val="0"/>
          <w:numId w:val="1004"/>
        </w:numPr>
        <w:pStyle w:val="Compact"/>
      </w:pPr>
      <w:r>
        <w:rPr>
          <w:bCs/>
          <w:b/>
        </w:rPr>
        <w:t xml:space="preserve">Identity-leakage defense</w:t>
      </w:r>
      <w:r>
        <w:t xml:space="preserve"> </w:t>
      </w:r>
      <w:r>
        <w:t xml:space="preserve">— 693-token stoplist for TF-IDF</w:t>
      </w:r>
    </w:p>
    <w:p>
      <w:pPr>
        <w:numPr>
          <w:ilvl w:val="0"/>
          <w:numId w:val="1004"/>
        </w:numPr>
        <w:pStyle w:val="Compact"/>
      </w:pPr>
      <w:r>
        <w:rPr>
          <w:bCs/>
          <w:b/>
        </w:rPr>
        <w:t xml:space="preserve">Full reproducibility</w:t>
      </w:r>
      <w:r>
        <w:t xml:space="preserve"> </w:t>
      </w:r>
      <w:r>
        <w:t xml:space="preserve">— fixed seed 42, all artefacts committed</w:t>
      </w:r>
    </w:p>
    <w:p>
      <w:pPr>
        <w:numPr>
          <w:ilvl w:val="0"/>
          <w:numId w:val="1004"/>
        </w:numPr>
        <w:pStyle w:val="Compact"/>
      </w:pPr>
      <w:r>
        <w:rPr>
          <w:bCs/>
          <w:b/>
        </w:rPr>
        <w:t xml:space="preserve">Honest negative result</w:t>
      </w:r>
      <w:r>
        <w:t xml:space="preserve"> </w:t>
      </w:r>
      <w:r>
        <w:t xml:space="preserve">— hybrid claim refuted at default threshold, openly reported</w:t>
      </w:r>
    </w:p>
    <w:p>
      <w:pPr>
        <w:numPr>
          <w:ilvl w:val="0"/>
          <w:numId w:val="1004"/>
        </w:numPr>
        <w:pStyle w:val="Compact"/>
      </w:pPr>
      <w:r>
        <w:rPr>
          <w:bCs/>
          <w:b/>
        </w:rPr>
        <w:t xml:space="preserve">Business impact</w:t>
      </w:r>
      <w:r>
        <w:t xml:space="preserve"> </w:t>
      </w:r>
      <w:r>
        <w:t xml:space="preserve">— $383k/year estimate with documented assumptions</w:t>
      </w:r>
    </w:p>
    <w:bookmarkEnd w:id="59"/>
    <w:bookmarkStart w:id="60" w:name="phrases-للاستخدام"/>
    <w:p>
      <w:pPr>
        <w:pStyle w:val="Heading2"/>
      </w:pPr>
      <w:r>
        <w:t xml:space="preserve">Phrases للاستخدام</w:t>
      </w:r>
    </w:p>
    <w:p>
      <w:pPr>
        <w:numPr>
          <w:ilvl w:val="0"/>
          <w:numId w:val="1005"/>
        </w:numPr>
        <w:pStyle w:val="Compact"/>
      </w:pPr>
      <w:r>
        <w:t xml:space="preserve">“</w:t>
      </w:r>
      <w:r>
        <w:t xml:space="preserve">The empirical finding contradicts the hypothesis with which the project began…</w:t>
      </w:r>
      <w:r>
        <w:t xml:space="preserve">”</w:t>
      </w:r>
    </w:p>
    <w:p>
      <w:pPr>
        <w:numPr>
          <w:ilvl w:val="0"/>
          <w:numId w:val="1005"/>
        </w:numPr>
        <w:pStyle w:val="Compact"/>
      </w:pPr>
      <w:r>
        <w:t xml:space="preserve">“</w:t>
      </w:r>
      <w:r>
        <w:t xml:space="preserve">An honest interpretation requires acknowledging that…</w:t>
      </w:r>
      <w:r>
        <w:t xml:space="preserve">”</w:t>
      </w:r>
    </w:p>
    <w:p>
      <w:pPr>
        <w:numPr>
          <w:ilvl w:val="0"/>
          <w:numId w:val="1005"/>
        </w:numPr>
        <w:pStyle w:val="Compact"/>
      </w:pPr>
      <w:r>
        <w:t xml:space="preserve">“</w:t>
      </w:r>
      <w:r>
        <w:t xml:space="preserve">The methodological lesson generalizes beyond this specific dataset…</w:t>
      </w:r>
      <w:r>
        <w:t xml:space="preserve">”</w:t>
      </w:r>
    </w:p>
    <w:p>
      <w:pPr>
        <w:numPr>
          <w:ilvl w:val="0"/>
          <w:numId w:val="1005"/>
        </w:numPr>
        <w:pStyle w:val="Compact"/>
      </w:pPr>
      <w:r>
        <w:t xml:space="preserve">“</w:t>
      </w:r>
      <w:r>
        <w:t xml:space="preserve">I would refer the committee to Section X.Y for the full evidence…</w:t>
      </w:r>
      <w:r>
        <w:t xml:space="preserve">”</w:t>
      </w:r>
    </w:p>
    <w:p>
      <w:pPr>
        <w:numPr>
          <w:ilvl w:val="0"/>
          <w:numId w:val="1005"/>
        </w:numPr>
        <w:pStyle w:val="Compact"/>
      </w:pPr>
      <w:r>
        <w:t xml:space="preserve">“</w:t>
      </w:r>
      <w:r>
        <w:t xml:space="preserve">I don’t know definitively, but I would investigate by…</w:t>
      </w:r>
      <w:r>
        <w:t xml:space="preserve">”</w:t>
      </w:r>
    </w:p>
    <w:p>
      <w:pPr>
        <w:numPr>
          <w:ilvl w:val="0"/>
          <w:numId w:val="1005"/>
        </w:numPr>
        <w:pStyle w:val="Compact"/>
      </w:pPr>
      <w:r>
        <w:t xml:space="preserve">“</w:t>
      </w:r>
      <w:r>
        <w:t xml:space="preserve">From my professional DevOps engineering experience…</w:t>
      </w:r>
      <w:r>
        <w:t xml:space="preserve">”</w:t>
      </w:r>
    </w:p>
    <w:bookmarkEnd w:id="60"/>
    <w:bookmarkStart w:id="61" w:name="closing-statement-محفوظة-للنهاية"/>
    <w:p>
      <w:pPr>
        <w:pStyle w:val="Heading2"/>
      </w:pPr>
      <w:r>
        <w:t xml:space="preserve">Closing Statement (محفوظة للنهاية)</w:t>
      </w:r>
    </w:p>
    <w:p>
      <w:pPr>
        <w:pStyle w:val="BlockText"/>
      </w:pPr>
      <w:r>
        <w:t xml:space="preserve">“</w:t>
      </w:r>
      <w:r>
        <w:t xml:space="preserve">This project began with a hypothesis that the combination of structured and textual commit features would predict CI/CD failures more accurately than either modality alone. The empirical results refined that hypothesis: the structured modalities carry the bulk of the predictive signal on this dataset, and the textual modality contributes weakly through TF-IDF. After threshold calibration, the combined hybrid model achieves a failure-class F1 of 0.59 with strictly pre-execution features, which is competitive with the prior art that relies on post-execution telemetry and represents, to the best of my knowledge, the strongest published result for the pre-execution setting on real GitHub Actions data. The project’s full code, data, and trained models are reproducible from a clean checkout, and the methodology is documented in sufficient detail to support both academic verification and operational adoption. Thank you.</w:t>
      </w:r>
      <w:r>
        <w:t xml:space="preserve">”</w:t>
      </w:r>
    </w:p>
    <w:p>
      <w:r>
        <w:pict>
          <v:rect style="width:0;height:1.5pt" o:hralign="center" o:hrstd="t" o:hr="t"/>
        </w:pict>
      </w:r>
    </w:p>
    <w:bookmarkEnd w:id="61"/>
    <w:bookmarkEnd w:id="62"/>
    <w:bookmarkStart w:id="66" w:name="bonus-نصايح-عملية-للـ-defense"/>
    <w:p>
      <w:pPr>
        <w:pStyle w:val="Heading1"/>
      </w:pPr>
      <w:r>
        <w:t xml:space="preserve">🎯 Bonus: نصايح عملية للـ Defense</w:t>
      </w:r>
    </w:p>
    <w:bookmarkStart w:id="63" w:name="قبل-الـ-defense"/>
    <w:p>
      <w:pPr>
        <w:pStyle w:val="Heading2"/>
      </w:pPr>
      <w:r>
        <w:t xml:space="preserve">قبل الـ Defense</w:t>
      </w:r>
    </w:p>
    <w:p>
      <w:pPr>
        <w:numPr>
          <w:ilvl w:val="0"/>
          <w:numId w:val="1006"/>
        </w:numPr>
        <w:pStyle w:val="Compact"/>
      </w:pPr>
      <w:r>
        <w:rPr>
          <w:bCs/>
          <w:b/>
        </w:rPr>
        <w:t xml:space="preserve">بات كويس قبلها بليلة</w:t>
      </w:r>
      <w:r>
        <w:t xml:space="preserve"> </w:t>
      </w:r>
      <w:r>
        <w:t xml:space="preserve">— متسهرش تذاكر</w:t>
      </w:r>
    </w:p>
    <w:p>
      <w:pPr>
        <w:numPr>
          <w:ilvl w:val="0"/>
          <w:numId w:val="1006"/>
        </w:numPr>
        <w:pStyle w:val="Compact"/>
      </w:pPr>
      <w:r>
        <w:rPr>
          <w:bCs/>
          <w:b/>
        </w:rPr>
        <w:t xml:space="preserve">عندك مية في الكاس</w:t>
      </w:r>
      <w:r>
        <w:t xml:space="preserve"> </w:t>
      </w:r>
      <w:r>
        <w:t xml:space="preserve">— ممكن تحتاجها وأنت بتتكلم</w:t>
      </w:r>
    </w:p>
    <w:p>
      <w:pPr>
        <w:numPr>
          <w:ilvl w:val="0"/>
          <w:numId w:val="1006"/>
        </w:numPr>
        <w:pStyle w:val="Compact"/>
      </w:pPr>
      <w:r>
        <w:rPr>
          <w:bCs/>
          <w:b/>
        </w:rPr>
        <w:t xml:space="preserve">لبس رسمي</w:t>
      </w:r>
      <w:r>
        <w:t xml:space="preserve"> </w:t>
      </w:r>
      <w:r>
        <w:t xml:space="preserve">— first impression matters</w:t>
      </w:r>
    </w:p>
    <w:p>
      <w:pPr>
        <w:numPr>
          <w:ilvl w:val="0"/>
          <w:numId w:val="1006"/>
        </w:numPr>
        <w:pStyle w:val="Compact"/>
      </w:pPr>
      <w:r>
        <w:rPr>
          <w:bCs/>
          <w:b/>
        </w:rPr>
        <w:t xml:space="preserve">اوصل قبل الموعد بساعة</w:t>
      </w:r>
      <w:r>
        <w:t xml:space="preserve"> </w:t>
      </w:r>
      <w:r>
        <w:t xml:space="preserve">— اضبط الـ projector والـ laptop</w:t>
      </w:r>
    </w:p>
    <w:p>
      <w:pPr>
        <w:numPr>
          <w:ilvl w:val="0"/>
          <w:numId w:val="1006"/>
        </w:numPr>
        <w:pStyle w:val="Compact"/>
      </w:pPr>
      <w:r>
        <w:rPr>
          <w:bCs/>
          <w:b/>
        </w:rPr>
        <w:t xml:space="preserve">معاك نسخة احتياطية على USB</w:t>
      </w:r>
      <w:r>
        <w:t xml:space="preserve"> </w:t>
      </w:r>
      <w:r>
        <w:t xml:space="preserve">— في حالة طلع PowerPoint بعب</w:t>
      </w:r>
    </w:p>
    <w:bookmarkEnd w:id="63"/>
    <w:bookmarkStart w:id="64" w:name="أثناء-الـ-defense"/>
    <w:p>
      <w:pPr>
        <w:pStyle w:val="Heading2"/>
      </w:pPr>
      <w:r>
        <w:t xml:space="preserve">أثناء الـ Defense</w:t>
      </w:r>
    </w:p>
    <w:p>
      <w:pPr>
        <w:numPr>
          <w:ilvl w:val="0"/>
          <w:numId w:val="1007"/>
        </w:numPr>
        <w:pStyle w:val="Compact"/>
      </w:pPr>
      <w:r>
        <w:rPr>
          <w:bCs/>
          <w:b/>
        </w:rPr>
        <w:t xml:space="preserve">خد نفس قبل ما ترد</w:t>
      </w:r>
      <w:r>
        <w:t xml:space="preserve"> </w:t>
      </w:r>
      <w:r>
        <w:t xml:space="preserve">على أي سؤال — 3 ثواني تفكير أحسن من رد سريع غلط</w:t>
      </w:r>
    </w:p>
    <w:p>
      <w:pPr>
        <w:numPr>
          <w:ilvl w:val="0"/>
          <w:numId w:val="1007"/>
        </w:numPr>
        <w:pStyle w:val="Compact"/>
      </w:pPr>
      <w:r>
        <w:rPr>
          <w:bCs/>
          <w:b/>
        </w:rPr>
        <w:t xml:space="preserve">اعمل eye contact</w:t>
      </w:r>
      <w:r>
        <w:t xml:space="preserve"> </w:t>
      </w:r>
      <w:r>
        <w:t xml:space="preserve">مع الـ examiners الـ 3 بالتساوي</w:t>
      </w:r>
    </w:p>
    <w:p>
      <w:pPr>
        <w:numPr>
          <w:ilvl w:val="0"/>
          <w:numId w:val="1007"/>
        </w:numPr>
        <w:pStyle w:val="Compact"/>
      </w:pPr>
      <w:r>
        <w:rPr>
          <w:bCs/>
          <w:b/>
        </w:rPr>
        <w:t xml:space="preserve">لو الإجابة طويلة، قسّمها</w:t>
      </w:r>
      <w:r>
        <w:t xml:space="preserve"> </w:t>
      </w:r>
      <w:r>
        <w:t xml:space="preserve">—</w:t>
      </w:r>
      <w:r>
        <w:t xml:space="preserve"> </w:t>
      </w:r>
      <w:r>
        <w:t xml:space="preserve">“</w:t>
      </w:r>
      <w:r>
        <w:t xml:space="preserve">First… Second… Third…</w:t>
      </w:r>
      <w:r>
        <w:t xml:space="preserve">”</w:t>
      </w:r>
    </w:p>
    <w:p>
      <w:pPr>
        <w:numPr>
          <w:ilvl w:val="0"/>
          <w:numId w:val="1007"/>
        </w:numPr>
        <w:pStyle w:val="Compact"/>
      </w:pPr>
      <w:r>
        <w:rPr>
          <w:bCs/>
          <w:b/>
        </w:rPr>
        <w:t xml:space="preserve">اعترف بالـ limitations بثقة</w:t>
      </w:r>
      <w:r>
        <w:t xml:space="preserve"> </w:t>
      </w:r>
      <w:r>
        <w:t xml:space="preserve">— ده بيوريك ناضج أكاديمياً</w:t>
      </w:r>
    </w:p>
    <w:p>
      <w:pPr>
        <w:numPr>
          <w:ilvl w:val="0"/>
          <w:numId w:val="1007"/>
        </w:numPr>
        <w:pStyle w:val="Compact"/>
      </w:pPr>
      <w:r>
        <w:rPr>
          <w:bCs/>
          <w:b/>
        </w:rPr>
        <w:t xml:space="preserve">اربط دايماً بالـ figures والـ tables</w:t>
      </w:r>
      <w:r>
        <w:t xml:space="preserve"> </w:t>
      </w:r>
      <w:r>
        <w:t xml:space="preserve">—</w:t>
      </w:r>
      <w:r>
        <w:t xml:space="preserve"> </w:t>
      </w:r>
      <w:r>
        <w:t xml:space="preserve">“</w:t>
      </w:r>
      <w:r>
        <w:t xml:space="preserve">As shown in Figure 7.X…</w:t>
      </w:r>
      <w:r>
        <w:t xml:space="preserve">”</w:t>
      </w:r>
    </w:p>
    <w:bookmarkEnd w:id="64"/>
    <w:bookmarkStart w:id="65" w:name="لو-وقعت-في-سؤال"/>
    <w:p>
      <w:pPr>
        <w:pStyle w:val="Heading2"/>
      </w:pPr>
      <w:r>
        <w:t xml:space="preserve">لو وقعت في سؤال</w:t>
      </w:r>
    </w:p>
    <w:p>
      <w:pPr>
        <w:numPr>
          <w:ilvl w:val="0"/>
          <w:numId w:val="1008"/>
        </w:numPr>
        <w:pStyle w:val="Compact"/>
      </w:pPr>
      <w:r>
        <w:rPr>
          <w:bCs/>
          <w:b/>
        </w:rPr>
        <w:t xml:space="preserve">اقول</w:t>
      </w:r>
      <w:r>
        <w:rPr>
          <w:bCs/>
          <w:b/>
        </w:rPr>
        <w:t xml:space="preserve"> </w:t>
      </w:r>
      <w:r>
        <w:rPr>
          <w:bCs/>
          <w:b/>
        </w:rPr>
        <w:t xml:space="preserve">“</w:t>
      </w:r>
      <w:r>
        <w:rPr>
          <w:bCs/>
          <w:b/>
        </w:rPr>
        <w:t xml:space="preserve">That’s an excellent point</w:t>
      </w:r>
      <w:r>
        <w:rPr>
          <w:bCs/>
          <w:b/>
        </w:rPr>
        <w:t xml:space="preserve">”</w:t>
      </w:r>
      <w:r>
        <w:t xml:space="preserve"> </w:t>
      </w:r>
      <w:r>
        <w:t xml:space="preserve">— يديك 5 ثواني تفكر</w:t>
      </w:r>
    </w:p>
    <w:p>
      <w:pPr>
        <w:numPr>
          <w:ilvl w:val="0"/>
          <w:numId w:val="1008"/>
        </w:numPr>
        <w:pStyle w:val="Compact"/>
      </w:pPr>
      <w:r>
        <w:rPr>
          <w:bCs/>
          <w:b/>
        </w:rPr>
        <w:t xml:space="preserve">اطلب التوضيح</w:t>
      </w:r>
      <w:r>
        <w:t xml:space="preserve"> </w:t>
      </w:r>
      <w:r>
        <w:t xml:space="preserve">—</w:t>
      </w:r>
      <w:r>
        <w:t xml:space="preserve"> </w:t>
      </w:r>
      <w:r>
        <w:t xml:space="preserve">“</w:t>
      </w:r>
      <w:r>
        <w:t xml:space="preserve">Could you elaborate on which aspect you’d like me to address?</w:t>
      </w:r>
      <w:r>
        <w:t xml:space="preserve">”</w:t>
      </w:r>
    </w:p>
    <w:p>
      <w:pPr>
        <w:numPr>
          <w:ilvl w:val="0"/>
          <w:numId w:val="1008"/>
        </w:numPr>
        <w:pStyle w:val="Compact"/>
      </w:pPr>
      <w:r>
        <w:rPr>
          <w:bCs/>
          <w:b/>
        </w:rPr>
        <w:t xml:space="preserve">استخدم الـ</w:t>
      </w:r>
      <w:r>
        <w:rPr>
          <w:bCs/>
          <w:b/>
        </w:rPr>
        <w:t xml:space="preserve"> </w:t>
      </w:r>
      <w:r>
        <w:rPr>
          <w:bCs/>
          <w:b/>
        </w:rPr>
        <w:t xml:space="preserve">“</w:t>
      </w:r>
      <w:r>
        <w:rPr>
          <w:bCs/>
          <w:b/>
        </w:rPr>
        <w:t xml:space="preserve">Bridge</w:t>
      </w:r>
      <w:r>
        <w:rPr>
          <w:bCs/>
          <w:b/>
        </w:rPr>
        <w:t xml:space="preserve">”</w:t>
      </w:r>
      <w:r>
        <w:rPr>
          <w:bCs/>
          <w:b/>
        </w:rPr>
        <w:t xml:space="preserve"> </w:t>
      </w:r>
      <w:r>
        <w:rPr>
          <w:bCs/>
          <w:b/>
        </w:rPr>
        <w:t xml:space="preserve">technique</w:t>
      </w:r>
      <w:r>
        <w:t xml:space="preserve"> </w:t>
      </w:r>
      <w:r>
        <w:t xml:space="preserve">—</w:t>
      </w:r>
      <w:r>
        <w:t xml:space="preserve"> </w:t>
      </w:r>
      <w:r>
        <w:t xml:space="preserve">“</w:t>
      </w:r>
      <w:r>
        <w:t xml:space="preserve">While I haven’t directly investigated X, my work on Y suggests…</w:t>
      </w:r>
      <w:r>
        <w:t xml:space="preserve">”</w:t>
      </w:r>
    </w:p>
    <w:p>
      <w:pPr>
        <w:numPr>
          <w:ilvl w:val="0"/>
          <w:numId w:val="1008"/>
        </w:numPr>
        <w:pStyle w:val="Compact"/>
      </w:pPr>
      <w:r>
        <w:rPr>
          <w:bCs/>
          <w:b/>
        </w:rPr>
        <w:t xml:space="preserve">اعترف بصراحة لو ما تعرفش</w:t>
      </w:r>
      <w:r>
        <w:t xml:space="preserve"> </w:t>
      </w:r>
      <w:r>
        <w:t xml:space="preserve">—</w:t>
      </w:r>
      <w:r>
        <w:t xml:space="preserve"> </w:t>
      </w:r>
      <w:r>
        <w:t xml:space="preserve">“</w:t>
      </w:r>
      <w:r>
        <w:t xml:space="preserve">I don’t have a definitive answer, but I would investigate by…</w:t>
      </w:r>
      <w:r>
        <w:t xml:space="preserve">”</w:t>
      </w:r>
    </w:p>
    <w:p>
      <w:r>
        <w:pict>
          <v:rect style="width:0;height:1.5pt" o:hralign="center" o:hrstd="t" o:hr="t"/>
        </w:pict>
      </w:r>
    </w:p>
    <w:p>
      <w:pPr>
        <w:pStyle w:val="FirstParagraph"/>
      </w:pPr>
      <w:r>
        <w:rPr>
          <w:bCs/>
          <w:b/>
        </w:rPr>
        <w:t xml:space="preserve">حظ سعيد! 🍀</w:t>
      </w:r>
    </w:p>
    <w:p>
      <w:pPr>
        <w:pStyle w:val="BodyText"/>
      </w:pPr>
      <w:r>
        <w:t xml:space="preserve">كل اللي عملته من Phase 0 لحد Phase 5 يخليك مستعد. الورقة قوية، النتايج محترمة، والمنهجية صلبة. أنت</w:t>
      </w:r>
      <w:r>
        <w:t xml:space="preserve"> </w:t>
      </w:r>
      <w:r>
        <w:rPr>
          <w:bCs/>
          <w:b/>
        </w:rPr>
        <w:t xml:space="preserve">مهندس عارف بيشتغل</w:t>
      </w:r>
      <w:r>
        <w:t xml:space="preserve">.</w:t>
      </w:r>
    </w:p>
    <w:p>
      <w:pPr>
        <w:pStyle w:val="BodyText"/>
      </w:pPr>
      <w:r>
        <w:t xml:space="preserve">Believe in your work.</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2026-05-30T10:35:47Z</dcterms:created>
  <dcterms:modified xsi:type="dcterms:W3CDTF">2026-05-30T10:35:47Z</dcterms:modified>
</cp:coreProperties>
</file>

<file path=docProps/custom.xml><?xml version="1.0" encoding="utf-8"?>
<Properties xmlns="http://schemas.openxmlformats.org/officeDocument/2006/custom-properties" xmlns:vt="http://schemas.openxmlformats.org/officeDocument/2006/docPropsVTypes"/>
</file>