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1)J'ai un master en statistique, est ce que je peux postuler aux concours ingénieure biologiste en plateforme scientifique?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Oui, un master en statistique est compatible avec ce poste, car ce sera une partie des activités auxquelles tu seras confronté. Il faudra notamment : </w:t>
      </w:r>
    </w:p>
    <w:p w:rsidR="00000000" w:rsidDel="00000000" w:rsidP="00000000" w:rsidRDefault="00000000" w:rsidRPr="00000000" w14:paraId="00000004">
      <w:pPr>
        <w:rPr/>
      </w:pPr>
      <w:r w:rsidDel="00000000" w:rsidR="00000000" w:rsidRPr="00000000">
        <w:rPr>
          <w:rtl w:val="0"/>
        </w:rPr>
        <w:t xml:space="preserve">- Maîtriser les étapes de post-processing informatique et statistique des données MS. </w:t>
      </w:r>
    </w:p>
    <w:p w:rsidR="00000000" w:rsidDel="00000000" w:rsidP="00000000" w:rsidRDefault="00000000" w:rsidRPr="00000000" w14:paraId="00000005">
      <w:pPr>
        <w:rPr/>
      </w:pPr>
      <w:r w:rsidDel="00000000" w:rsidR="00000000" w:rsidRPr="00000000">
        <w:rPr>
          <w:rtl w:val="0"/>
        </w:rPr>
        <w:t xml:space="preserve">- Utiliser des algorithmes de recherche en banque de données pour l'identification et la quantification des protéines. </w:t>
      </w:r>
    </w:p>
    <w:p w:rsidR="00000000" w:rsidDel="00000000" w:rsidP="00000000" w:rsidRDefault="00000000" w:rsidRPr="00000000" w14:paraId="00000006">
      <w:pPr>
        <w:rPr/>
      </w:pPr>
      <w:r w:rsidDel="00000000" w:rsidR="00000000" w:rsidRPr="00000000">
        <w:rPr>
          <w:rtl w:val="0"/>
        </w:rPr>
        <w:t xml:space="preserve">- Réaliser une analyse statistique, du data mining (enrichissement fonctionnel, réseaux d'interactions protéine-protéine). </w:t>
      </w:r>
    </w:p>
    <w:p w:rsidR="00000000" w:rsidDel="00000000" w:rsidP="00000000" w:rsidRDefault="00000000" w:rsidRPr="00000000" w14:paraId="00000007">
      <w:pPr>
        <w:rPr/>
      </w:pPr>
      <w:r w:rsidDel="00000000" w:rsidR="00000000" w:rsidRPr="00000000">
        <w:rPr>
          <w:rtl w:val="0"/>
        </w:rPr>
        <w:t xml:space="preserve">- Maitriser les outils statistiques de validation des expériences, ainsi que des outils de visualisation des données pour publication (analyse en composante principale, volcano plot, heat map, par exemple). </w:t>
      </w:r>
    </w:p>
    <w:p w:rsidR="00000000" w:rsidDel="00000000" w:rsidP="00000000" w:rsidRDefault="00000000" w:rsidRPr="00000000" w14:paraId="00000008">
      <w:pPr>
        <w:rPr/>
      </w:pPr>
      <w:r w:rsidDel="00000000" w:rsidR="00000000" w:rsidRPr="00000000">
        <w:rPr>
          <w:rtl w:val="0"/>
        </w:rPr>
        <w:t xml:space="preserve">(Source : page_005.json)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2)Dans quelle équipe serais-je affecté pour le concours d'ingénieure biologiste en plateforme scientifique?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bookmarkStart w:colFirst="0" w:colLast="0" w:name="_heading=h.j0435t1ms3jw" w:id="0"/>
      <w:bookmarkEnd w:id="0"/>
      <w:r w:rsidDel="00000000" w:rsidR="00000000" w:rsidRPr="00000000">
        <w:rPr>
          <w:rtl w:val="0"/>
        </w:rPr>
        <w:t xml:space="preserve"> Tu rejoindras l'équipe de la plateforme protéomique Strasbourg-Esplanade. La plateforme fait partie de l'unité d'appui et de recherche (UAR1589, 17 personnes) de l'IBMC. (source : page_005.json)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3)Quelle est la différence entre une unité de recherche et une unité d’appui et de recherche (UAR) ?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Une unité de recherche a pour mission principale de mener des projets scientifiques propres, structurés autour d’axes de recherche. Une unité d’appui et de recherche (UAR) a pour mission principale de soutenir l’activité scientifique d’autres unités, notamment via des plateformes, des services techniques et des expertises mutualisées. (Source : page_005.json) </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4)Comment le CNRS est-il organisé (instituts, unités, plateformes) ? </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 -Structure générale : Le CNRS est un établissement public à caractère scientifique et technologique (EPST) placé sous une direction générale de la science (DGDS). (source: guide_candidat_2025.json) Le CNRS s’organise autour d’une dizaine d’instituts thématiques qui animent et coordonnent les laboratoires : Biologie, Chimie, Écologie &amp; environnement, Ingénierie, Mathématiques, Nucléaire &amp; particules, Physique, Sciences humaines &amp; sociales, Sciences informatiques, Terre &amp; Univers. (source : instituts_cnrs.json)  </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-Niveaux opérationnels (où se fait la recherche) : Unités de recherche (laboratoires) : unités de différents statuts (UMR = Unité Mixte de Recherche, UPR = Unité Propre de Recherche, UAR = Unité d’Appui et de Recherche, UMS, etc.). Ce sont les structures où travaillent équipes, chercheurs, ingénieurs et techniciens (ex. UMR, UAR mentionnées dans les pages). Exemples et contextes : (page_001.json, page_010.json)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5)Quelles perspectives d’évolution de carrière existent pour un ingenieur biologiste en plateforme scientifique ?  </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La carrière recouvre l’ensemble des possibilités d’évolution professionnelle. Elle est constituée des possibilités d’avancement au sein d’un même corps, qui sont liées à la fois à l’ancienneté et à la valeur professionnelle, et des possibilités d’accès à un corps de niveau supérieur, soit par la voie des concours internes, soit par la voie des procédures de promotion. De façon plus large, les possibilités de mobilité au sein du CNRS ou vers d’autres organismes de recherche, universités, entreprises ou administrations font partie intégrante de la carrière des ingénieures et ingénieurs et des techniciennes et techniciens du CNRS. (source: guide candidats 2025) </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6)Le poste d'ingenieur biologiste en plateforme scientifique relève-t-il d’un concours ITA ou ITRF ? </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Ce poste relève d’un concours ITA, et non d’un concours ITRF. Il correspond aux concours externes des personnels ingénieurs et techniciens du CNRS, appelés ITA (Ingénieurs et Techniciens Administratifs), pour des grades comme Ingénieur de recherche (source : page_005.json, section "grade" ; guide_candidat_2025.json, sections "LES BRANCHES D'ACTIVITÉS PROFESSIONNELLES (BAP)" ). Les concours ITRF relèvent des universités et du ministère de l’Enseignement supérieur, pas du CNRS (source : guide_candidat_2025.json). </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 </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7) Le poste d'ingenieur biologiste en plateforme scientifique permet-il de participer à des publications scientifiques ?  </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Oui, ce poste permet de participer à des publications scientifiques. Il faut notamment assurer le suivi des analyses à moyen et long terme, conseiller les collaborateurs, aider les équipes partenaires à valoriser les résultats obtenus (rédaction d'articles scientifiques) </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8) Le poste d'ingenieur biologiste en plateforme scientifiques concerne-t-il exclusivement le domaine de la protéomique ? </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 Oui, ce concours concerne principalement et spécifiquement le domaine de la protéomique, mais il ne se limite pas uniquement à l’expérimentation protéomique : il inclut aussi des compétences essentielles en statistique et en informatique/bioinformatique. </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9) Quelle est la rémunération indicative pour un ingénieur de recherche au CNRS ? Le traitement indiciaire brut mensuel d’une ingénieure ou d’un ingénieur de recherche est compris entre 2 289,10 € et 4 110,54 € (valeur au 01/07/2023). À ce traitement de base s’ajoutent mensuellement : l’indemnité de fonctions, de sujétions et d’expertise (IFSE), liée à la fonction exercée ; l’indemnité de résidence (3 %, 1 % ou 0 % du traitement de base selon la ville d’affectation) ; le supplément familial de traitement (dépendant du nombre d’enfants à charge) ; le remboursement partiel des frais de transport domicile-travail ; les primes ou indemnités spécifiques. Un complément indemnitaire annuel (CIA), modulable selon la manière de servir et l’engagement professionnel, peut être versé en juillet et en décembre. Les charges et retenues diverses représentent environ 20 % en déduction. (Source : remuneration_cnrs.json) </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 </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10)Quels sont les avantages offerts par le CNRS en termes de formation et d'environnement de travail ? </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 En formation : La politique de formation vise à anticiper l’évolution des métiers et à développer les compétences collectives et individuelles. 30 % des agents bénéficient chaque année d’une action formation, et 30 % des formations se déroulent en E-learning. Le plan d’orientation pluriannuel (2020-2023) contribue à l’excellence scientifique, accompagne le développement professionnel et développe le numérique/digital. </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 En environnement de travail : Le télétravail est possible jusqu’à 3 jours par semaine (fixes ou flottants), avec une indemnité forfaitaire pour les frais d’énergie. Près de 20 % des agents y ont recours. Un guide sur l’articulation des temps de vie assure une meilleure conciliation vie professionnelle/vie personnelle. (Source : vos_avantages.json, sections "Formation" et "Environnement de travail") </w:t>
      </w:r>
    </w:p>
    <w:p w:rsidR="00000000" w:rsidDel="00000000" w:rsidP="00000000" w:rsidRDefault="00000000" w:rsidRPr="00000000" w14:paraId="00000033">
      <w:pPr>
        <w:rPr/>
      </w:pPr>
      <w:r w:rsidDel="00000000" w:rsidR="00000000" w:rsidRPr="00000000">
        <w:rPr>
          <w:rtl w:val="0"/>
        </w:rPr>
        <w:t xml:space="preserve"> </w:t>
      </w:r>
    </w:p>
    <w:sectPr>
      <w:pgSz w:h="16838" w:w="11906" w:orient="portrait"/>
      <w:pgMar w:bottom="1440" w:top="1440" w:left="1800" w:right="1800"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lang w:val="en"/>
      </w:rPr>
    </w:rPrDefault>
    <w:pPrDefault>
      <w:pPr>
        <w:widowControl w:val="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2" w:default="1">
    <w:name w:val="Default Paragraph Font"/>
    <w:uiPriority w:val="0"/>
    <w:semiHidden w:val="1"/>
  </w:style>
  <w:style w:type="table" w:styleId="3" w:default="1">
    <w:name w:val="Normal Table"/>
    <w:uiPriority w:val="0"/>
    <w:semiHidden w:val="1"/>
    <w:tblPr>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3ohYD4h7COFsSAbqOmk5aO1ScA==">CgMxLjAyDmguajA0MzV0MW1zM2p3OAByITF2U3pBNmtwQ1QwVTFSUmMxMTNYYXZ0TkxmZXhYVUVfWg==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2026-01-13T00:09:00Z</dcterms:created>
  <dc:creator>Caesar Proc</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1036-12.2.0.23196</vt:lpwstr>
  </property>
  <property fmtid="{D5CDD505-2E9C-101B-9397-08002B2CF9AE}" pid="3" name="ICV">
    <vt:lpwstr>300B6E6F393442B3819D2A74A3C8F036_11</vt:lpwstr>
  </property>
</Properties>
</file>