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ALPHAS OS - Service Design &amp; Financial Architecture Specification</w:t>
      </w:r>
    </w:p>
    <w:p>
      <w:pPr>
        <w:ind w:left="284"/>
        <w:jc w:val="both"/>
        <w:spacing w:lineRule="auto"/>
      </w:pPr>
      <w:r>
        <w:rPr>
          <w:b/>
        </w:rPr>
        <w:t xml:space="preserve">Version:</w:t>
      </w:r>
      <w:r>
        <w:rPr/>
        <w:t xml:space="preserve"> 4.0</w:t>
      </w:r>
      <w:r>
        <w:rPr>
          <w:b/>
        </w:rPr>
        <w:t xml:space="preserve">Architecture Standard:</w:t>
      </w:r>
      <w:r>
        <w:rPr/>
        <w:t xml:space="preserve"> Lean Duopoly Financial Split &amp; 40% Execution Cost Cap</w:t>
      </w:r>
      <w:r>
        <w:rPr>
          <w:b/>
        </w:rPr>
        <w:t xml:space="preserve">Status:</w:t>
      </w:r>
      <w:r>
        <w:rPr/>
        <w:t xml:space="preserve"> Active Production Specification</w:t>
      </w:r>
    </w:p>
    <w:p>
      <w:pPr>
        <w:pStyle w:val="Heading2"/>
        <w:spacing w:lineRule="auto"/>
      </w:pPr>
      <w:r>
        <w:rPr/>
        <w:t xml:space="preserve">1. Executive Summary &amp; Operating Model</w:t>
      </w:r>
    </w:p>
    <w:p>
      <w:pPr>
        <w:spacing w:lineRule="auto"/>
      </w:pPr>
      <w:r>
        <w:rPr/>
        <w:t xml:space="preserve">ALPHAS OS operates under a </w:t>
      </w:r>
      <w:r>
        <w:rPr>
          <w:b/>
        </w:rPr>
        <w:t xml:space="preserve">Lean Duopoly Financial Engine</w:t>
      </w:r>
      <w:r>
        <w:rPr/>
        <w:t xml:space="preserve"> between </w:t>
      </w:r>
      <w:r>
        <w:rPr>
          <w:b/>
        </w:rPr>
        <w:t xml:space="preserve">Mohamed Asy</w:t>
      </w:r>
      <w:r>
        <w:rPr/>
        <w:t xml:space="preserve"> (CEO &amp; Dev Partner) and </w:t>
      </w:r>
      <w:r>
        <w:rPr>
          <w:b/>
        </w:rPr>
        <w:t xml:space="preserve">Abanoub Hany</w:t>
      </w:r>
      <w:r>
        <w:rPr/>
        <w:t xml:space="preserve"> (COO &amp; Media Partner).</w:t>
      </w:r>
    </w:p>
    <w:p>
      <w:pPr>
        <w:pStyle w:val="Heading3"/>
        <w:spacing w:lineRule="auto"/>
      </w:pPr>
      <w:r>
        <w:rPr/>
        <w:t xml:space="preserve">Key Business Constraints &amp; Margins: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60% Gross Margin Guarantee:</w:t>
      </w:r>
      <w:r>
        <w:rPr/>
        <w:t xml:space="preserve"> All service execution costs (COGS) are strictly capped at </w:t>
      </w:r>
      <w:r>
        <w:rPr>
          <w:b/>
        </w:rPr>
        <w:t xml:space="preserve">40% maximum</w:t>
      </w:r>
      <w:r>
        <w:rPr/>
        <w:t xml:space="preserve"> of package revenue.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Dynamic Task Breakdown Sub-Panels:</w:t>
      </w:r>
      <w:r>
        <w:rPr/>
        <w:t xml:space="preserve"> Every active service allows defining modular tasks with custom percentage-based cost allocations.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15% Sales Closer Fee:</w:t>
      </w:r>
      <w:r>
        <w:rPr/>
        <w:t xml:space="preserve"> Allocated directly to the deal closer (Asy or Abanoub) as top-line revenue compensation.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25% Capital Reserve Rule:</w:t>
      </w:r>
      <w:r>
        <w:rPr/>
        <w:t xml:space="preserve"> 25% of Gross Profit is automatically reserved for capital reinvestment before net profit distribution.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50/50 Distributable Profit Split:</w:t>
      </w:r>
      <w:r>
        <w:rPr/>
        <w:t xml:space="preserve"> Remaining 75% of Gross Profit is split equally (50% / 50%) between partners.</w:t>
      </w:r>
    </w:p>
    <w:p>
      <w:pPr>
        <w:pStyle w:val="Heading2"/>
        <w:spacing w:lineRule="auto"/>
      </w:pPr>
      <w:r>
        <w:rPr/>
        <w:t xml:space="preserve">2. Core Service Pillars &amp; Canonical Task Breakdown (40% Execution Cap)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 │                        SERVICE PACKAGE PRICE (100%)                     │ ├───────────────────────────────────┬─────────────────────────────────────┤ │   COGS Task Execution (Max 40%)   │   Gross Margin &amp; Buffer (Min 60%)   │ └───────────────────────────────────┴─────────────────────────────────────┘ </w:t>
      </w:r>
    </w:p>
    <w:p>
      <w:pPr>
        <w:pStyle w:val="Heading3"/>
        <w:spacing w:lineRule="auto"/>
      </w:pPr>
      <w:r>
        <w:rPr/>
        <w:t xml:space="preserve">Pillar 1: Web Engineering &amp; Stores</w:t>
      </w:r>
    </w:p>
    <w:p>
      <w:pPr>
        <w:spacing w:lineRule="auto"/>
      </w:pPr>
      <w:r>
        <w:rPr/>
        <w:t xml:space="preserve">Headless e-commerce, custom WooCommerce API architecture, ERP webhooks, and speed optimization.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Pricing Tiers: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Starter Web Build:</w:t>
      </w:r>
      <w:r>
        <w:rPr/>
        <w:t xml:space="preserve">EGP 11,500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Essential CMS Development:</w:t>
      </w:r>
      <w:r>
        <w:rPr/>
        <w:t xml:space="preserve">EGP 23,000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Ecommerce Web &amp; Custom Integrations:</w:t>
      </w:r>
      <w:r>
        <w:rPr/>
        <w:t xml:space="preserve">EGP 34,500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Canonical 40% Task Breakdown:</w:t>
      </w:r>
      <w:r>
        <w:rPr/>
      </w:r>
    </w:p>
    <w:p>
      <w:pPr>
        <w:pStyle w:val="Heading3"/>
        <w:spacing w:lineRule="auto"/>
      </w:pPr>
      <w:r>
        <w:rPr/>
        <w:t xml:space="preserve">Pillar 2: Media Buying &amp; Ads</w:t>
      </w:r>
    </w:p>
    <w:p>
      <w:pPr>
        <w:spacing w:lineRule="auto"/>
      </w:pPr>
      <w:r>
        <w:rPr/>
        <w:t xml:space="preserve">Omnichannel paid ad setup across Meta &amp; Google, server-side Pixel CAPI, ad creatives, and ROAS scaling.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Pricing Tiers:</w:t>
      </w:r>
    </w:p>
    <w:p>
      <w:pPr>
        <w:numPr>
          <w:ilvl w:val="1"/>
          <w:numId w:val="5"/>
        </w:numPr>
        <w:spacing w:lineRule="auto"/>
      </w:pPr>
      <w:r>
        <w:rPr>
          <w:b/>
        </w:rPr>
        <w:t xml:space="preserve">Starter Ads Meta/Google Campaign:</w:t>
      </w:r>
      <w:r>
        <w:rPr/>
        <w:t xml:space="preserve">EGP 5,750 / mo</w:t>
      </w:r>
    </w:p>
    <w:p>
      <w:pPr>
        <w:numPr>
          <w:ilvl w:val="1"/>
          <w:numId w:val="5"/>
        </w:numPr>
        <w:spacing w:lineRule="auto"/>
      </w:pPr>
      <w:r>
        <w:rPr>
          <w:b/>
        </w:rPr>
        <w:t xml:space="preserve">Essential Multi-channel Campaigns:</w:t>
      </w:r>
      <w:r>
        <w:rPr/>
        <w:t xml:space="preserve">EGP 11,500 / mo</w:t>
      </w:r>
    </w:p>
    <w:p>
      <w:pPr>
        <w:numPr>
          <w:ilvl w:val="1"/>
          <w:numId w:val="5"/>
        </w:numPr>
        <w:spacing w:lineRule="auto"/>
      </w:pPr>
      <w:r>
        <w:rPr>
          <w:b/>
        </w:rPr>
        <w:t xml:space="preserve">Ecommerce Full Meta/Google Sync:</w:t>
      </w:r>
      <w:r>
        <w:rPr/>
        <w:t xml:space="preserve">EGP 17,250 / mo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Canonical 40% Task Breakdown:</w:t>
      </w:r>
      <w:r>
        <w:rPr/>
      </w:r>
    </w:p>
    <w:p>
      <w:pPr>
        <w:pStyle w:val="Heading3"/>
        <w:spacing w:lineRule="auto"/>
      </w:pPr>
      <w:r>
        <w:rPr/>
        <w:t xml:space="preserve">Pillar 3: Social Media Marketing (SMM)</w:t>
      </w:r>
    </w:p>
    <w:p>
      <w:pPr>
        <w:spacing w:lineRule="auto"/>
      </w:pPr>
      <w:r>
        <w:rPr/>
        <w:t xml:space="preserve">Brand identity, graphic design, video reels production, short-form motion editing, and copywriting.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Pricing Tiers:</w:t>
      </w:r>
    </w:p>
    <w:p>
      <w:pPr>
        <w:numPr>
          <w:ilvl w:val="1"/>
          <w:numId w:val="7"/>
        </w:numPr>
        <w:spacing w:lineRule="auto"/>
      </w:pPr>
      <w:r>
        <w:rPr>
          <w:b/>
        </w:rPr>
        <w:t xml:space="preserve">SMM Kickstart:</w:t>
      </w:r>
      <w:r>
        <w:rPr/>
        <w:t xml:space="preserve">EGP 5,175 / mo</w:t>
      </w:r>
    </w:p>
    <w:p>
      <w:pPr>
        <w:numPr>
          <w:ilvl w:val="1"/>
          <w:numId w:val="7"/>
        </w:numPr>
        <w:spacing w:lineRule="auto"/>
      </w:pPr>
      <w:r>
        <w:rPr>
          <w:b/>
        </w:rPr>
        <w:t xml:space="preserve">SMM Growth Plan:</w:t>
      </w:r>
      <w:r>
        <w:rPr/>
        <w:t xml:space="preserve">EGP 8,280 / mo</w:t>
      </w:r>
    </w:p>
    <w:p>
      <w:pPr>
        <w:numPr>
          <w:ilvl w:val="1"/>
          <w:numId w:val="7"/>
        </w:numPr>
        <w:spacing w:lineRule="auto"/>
      </w:pPr>
      <w:r>
        <w:rPr>
          <w:b/>
        </w:rPr>
        <w:t xml:space="preserve">SMM Domination Package:</w:t>
      </w:r>
      <w:r>
        <w:rPr/>
        <w:t xml:space="preserve">EGP 11,500 / mo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Canonical 40% Task Breakdown:</w:t>
      </w:r>
      <w:r>
        <w:rPr/>
      </w:r>
    </w:p>
    <w:p>
      <w:pPr>
        <w:pStyle w:val="Heading3"/>
        <w:spacing w:lineRule="auto"/>
      </w:pPr>
      <w:r>
        <w:rPr/>
        <w:t xml:space="preserve">Pillar 4: Store Support &amp; Management</w:t>
      </w:r>
    </w:p>
    <w:p>
      <w:pPr>
        <w:spacing w:lineRule="auto"/>
      </w:pPr>
      <w:r>
        <w:rPr/>
        <w:t xml:space="preserve">Catalog management, automated inventory flows, staging backups, and checkout security audits.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Pricing Tiers:</w:t>
      </w:r>
    </w:p>
    <w:p>
      <w:pPr>
        <w:numPr>
          <w:ilvl w:val="1"/>
          <w:numId w:val="9"/>
        </w:numPr>
        <w:spacing w:lineRule="auto"/>
      </w:pPr>
      <w:r>
        <w:rPr>
          <w:b/>
        </w:rPr>
        <w:t xml:space="preserve">Bronze Store Management:</w:t>
      </w:r>
      <w:r>
        <w:rPr/>
        <w:t xml:space="preserve">EGP 5,750 / mo</w:t>
      </w:r>
    </w:p>
    <w:p>
      <w:pPr>
        <w:numPr>
          <w:ilvl w:val="1"/>
          <w:numId w:val="9"/>
        </w:numPr>
        <w:spacing w:lineRule="auto"/>
      </w:pPr>
      <w:r>
        <w:rPr>
          <w:b/>
        </w:rPr>
        <w:t xml:space="preserve">Silver Support &amp; SEO:</w:t>
      </w:r>
      <w:r>
        <w:rPr/>
        <w:t xml:space="preserve">EGP 8,625 / mo</w:t>
      </w:r>
    </w:p>
    <w:p>
      <w:pPr>
        <w:numPr>
          <w:ilvl w:val="1"/>
          <w:numId w:val="9"/>
        </w:numPr>
        <w:spacing w:lineRule="auto"/>
      </w:pPr>
      <w:r>
        <w:rPr>
          <w:b/>
        </w:rPr>
        <w:t xml:space="preserve">Gold Full-Service Ops:</w:t>
      </w:r>
      <w:r>
        <w:rPr/>
        <w:t xml:space="preserve">EGP 11,500 / mo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Canonical 40% Task Breakdown:</w:t>
      </w:r>
      <w:r>
        <w:rPr/>
      </w:r>
    </w:p>
    <w:p>
      <w:pPr>
        <w:pStyle w:val="Heading3"/>
        <w:spacing w:lineRule="auto"/>
      </w:pPr>
      <w:r>
        <w:rPr/>
        <w:t xml:space="preserve">Pillar 5: Strategic Consulting</w:t>
      </w:r>
    </w:p>
    <w:p>
      <w:pPr>
        <w:spacing w:lineRule="auto"/>
      </w:pPr>
      <w:r>
        <w:rPr/>
        <w:t xml:space="preserve">Technical codebase audits, CRO funnel diagnostics, growth strategy blueprints, and executive sessions.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Pricing Tiers:</w:t>
      </w:r>
    </w:p>
    <w:p>
      <w:pPr>
        <w:numPr>
          <w:ilvl w:val="1"/>
          <w:numId w:val="11"/>
        </w:numPr>
        <w:spacing w:lineRule="auto"/>
      </w:pPr>
      <w:r>
        <w:rPr>
          <w:b/>
        </w:rPr>
        <w:t xml:space="preserve">Technical Code Architecture (10 hrs):</w:t>
      </w:r>
      <w:r>
        <w:rPr/>
        <w:t xml:space="preserve">EGP 17,250</w:t>
      </w:r>
    </w:p>
    <w:p>
      <w:pPr>
        <w:numPr>
          <w:ilvl w:val="1"/>
          <w:numId w:val="11"/>
        </w:numPr>
        <w:spacing w:lineRule="auto"/>
      </w:pPr>
      <w:r>
        <w:rPr>
          <w:b/>
        </w:rPr>
        <w:t xml:space="preserve">Growth &amp; CRO Optimization (10 hrs):</w:t>
      </w:r>
      <w:r>
        <w:rPr/>
        <w:t xml:space="preserve">EGP 17,250</w:t>
      </w:r>
    </w:p>
    <w:p>
      <w:pPr>
        <w:numPr>
          <w:ilvl w:val="1"/>
          <w:numId w:val="11"/>
        </w:numPr>
        <w:spacing w:lineRule="auto"/>
      </w:pPr>
      <w:r>
        <w:rPr>
          <w:b/>
        </w:rPr>
        <w:t xml:space="preserve">Enterprise Strategy Session (10 hrs):</w:t>
      </w:r>
      <w:r>
        <w:rPr/>
        <w:t xml:space="preserve">EGP 23,000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Canonical 40% Task Breakdown:</w:t>
      </w:r>
      <w:r>
        <w:rPr/>
      </w:r>
    </w:p>
    <w:p>
      <w:pPr>
        <w:pStyle w:val="Heading3"/>
        <w:spacing w:lineRule="auto"/>
      </w:pPr>
      <w:r>
        <w:rPr/>
        <w:t xml:space="preserve">Pillar 6: Corporate Academy Training</w:t>
      </w:r>
    </w:p>
    <w:p>
      <w:pPr>
        <w:spacing w:lineRule="auto"/>
      </w:pPr>
      <w:r>
        <w:rPr/>
        <w:t xml:space="preserve">Corporate team upskilling on WooCommerce development, CAPI tracking masterclasses, and CRM automation.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Pricing Tiers:</w:t>
      </w:r>
    </w:p>
    <w:p>
      <w:pPr>
        <w:numPr>
          <w:ilvl w:val="1"/>
          <w:numId w:val="13"/>
        </w:numPr>
        <w:spacing w:lineRule="auto"/>
      </w:pPr>
      <w:r>
        <w:rPr>
          <w:b/>
        </w:rPr>
        <w:t xml:space="preserve">WooCommerce Website Setup (5 Students):</w:t>
      </w:r>
      <w:r>
        <w:rPr/>
        <w:t xml:space="preserve">EGP 14,375</w:t>
      </w:r>
    </w:p>
    <w:p>
      <w:pPr>
        <w:numPr>
          <w:ilvl w:val="1"/>
          <w:numId w:val="13"/>
        </w:numPr>
        <w:spacing w:lineRule="auto"/>
      </w:pPr>
      <w:r>
        <w:rPr>
          <w:b/>
        </w:rPr>
        <w:t xml:space="preserve">Media Buying Tracking (5 Students):</w:t>
      </w:r>
      <w:r>
        <w:rPr/>
        <w:t xml:space="preserve">EGP 14,375</w:t>
      </w:r>
    </w:p>
    <w:p>
      <w:pPr>
        <w:numPr>
          <w:ilvl w:val="1"/>
          <w:numId w:val="13"/>
        </w:numPr>
        <w:spacing w:lineRule="auto"/>
      </w:pPr>
      <w:r>
        <w:rPr>
          <w:b/>
        </w:rPr>
        <w:t xml:space="preserve">CRM Pipeline Automation (5 Students):</w:t>
      </w:r>
      <w:r>
        <w:rPr/>
        <w:t xml:space="preserve">EGP 14,375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Canonical 40% Task Breakdown:</w:t>
      </w:r>
      <w:r>
        <w:rPr/>
      </w:r>
    </w:p>
    <w:p>
      <w:pPr>
        <w:pStyle w:val="Heading2"/>
        <w:spacing w:lineRule="auto"/>
      </w:pPr>
      <w:r>
        <w:rPr/>
        <w:t xml:space="preserve">3. Duo Split Financial Calculation Matrix</w:t>
      </w:r>
    </w:p>
    <w:p>
      <w:pPr>
        <w:spacing w:lineRule="auto"/>
      </w:pPr>
      <w:r>
        <w:rPr/>
        <w:drawing>
          <wp:inline distB="0" distL="0" distR="0" distT="0">
            <wp:extent cx="4781550" cy="333375"/>
            <wp:effectExtent b="0" l="0" r="0" t="0"/>
            <wp:docPr id="1" name="image-bE6aGZkEe5AVNaUZNX5PO.png"/>
            <a:graphic>
              <a:graphicData uri="http://schemas.openxmlformats.org/drawingml/2006/picture">
                <pic:pic>
                  <pic:nvPicPr>
                    <pic:cNvPr id="1" name="image-bE6aGZkEe5AVNaUZNX5PO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33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drawing>
          <wp:inline distB="0" distL="0" distR="0" distT="0">
            <wp:extent cx="5248275" cy="504825"/>
            <wp:effectExtent b="0" l="0" r="0" t="0"/>
            <wp:docPr id="2" name="image-Jn-2LlmEVscvani-Gd8X4.png"/>
            <a:graphic>
              <a:graphicData uri="http://schemas.openxmlformats.org/drawingml/2006/picture">
                <pic:pic>
                  <pic:nvPicPr>
                    <pic:cNvPr id="2" name="image-Jn-2LlmEVscvani-Gd8X4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504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drawing>
          <wp:inline distB="0" distL="0" distR="0" distT="0">
            <wp:extent cx="7410450" cy="257175"/>
            <wp:effectExtent b="0" l="0" r="0" t="0"/>
            <wp:docPr id="3" name="image-CVHFTrImeR6yl2qadJc9L.png"/>
            <a:graphic>
              <a:graphicData uri="http://schemas.openxmlformats.org/drawingml/2006/picture">
                <pic:pic>
                  <pic:nvPicPr>
                    <pic:cNvPr id="3" name="image-CVHFTrImeR6yl2qadJc9L.png" descr="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0450" cy="257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drawing>
          <wp:inline distB="0" distL="0" distR="0" distT="0">
            <wp:extent cx="3686175" cy="257175"/>
            <wp:effectExtent b="0" l="0" r="0" t="0"/>
            <wp:docPr id="4" name="image-oBUS2QEY2lxurgybi7mTT.png"/>
            <a:graphic>
              <a:graphicData uri="http://schemas.openxmlformats.org/drawingml/2006/picture">
                <pic:pic>
                  <pic:nvPicPr>
                    <pic:cNvPr id="4" name="image-oBUS2QEY2lxurgybi7mTT.png" descr=""/>
                    <pic:cNvPicPr/>
                  </pic:nvPicPr>
                  <pic:blipFill>
                    <a:blip r:embed="rId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57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drawing>
          <wp:inline distB="0" distL="0" distR="0" distT="0">
            <wp:extent cx="6762750" cy="257175"/>
            <wp:effectExtent b="0" l="0" r="0" t="0"/>
            <wp:docPr id="5" name="image-ugW0HnkiafG9435zHuNuy.png"/>
            <a:graphic>
              <a:graphicData uri="http://schemas.openxmlformats.org/drawingml/2006/picture">
                <pic:pic>
                  <pic:nvPicPr>
                    <pic:cNvPr id="5" name="image-ugW0HnkiafG9435zHuNuy.png" descr="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257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drawing>
          <wp:inline distB="0" distL="0" distR="0" distT="0">
            <wp:extent cx="3429000" cy="257175"/>
            <wp:effectExtent b="0" l="0" r="0" t="0"/>
            <wp:docPr id="6" name="image-uHeEpIV68vQ8QonQeov9H.png"/>
            <a:graphic>
              <a:graphicData uri="http://schemas.openxmlformats.org/drawingml/2006/picture">
                <pic:pic>
                  <pic:nvPicPr>
                    <pic:cNvPr id="6" name="image-uHeEpIV68vQ8QonQeov9H.png" descr=""/>
                    <pic:cNvPicPr/>
                  </pic:nvPicPr>
                  <pic:blipFill>
                    <a:blip r:embed="rId1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57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drawing>
          <wp:inline distB="0" distL="0" distR="0" distT="0">
            <wp:extent cx="5210175" cy="257175"/>
            <wp:effectExtent b="0" l="0" r="0" t="0"/>
            <wp:docPr id="7" name="image-RTB-OAr5HCiH7JdyJ4yFs.png"/>
            <a:graphic>
              <a:graphicData uri="http://schemas.openxmlformats.org/drawingml/2006/picture">
                <pic:pic>
                  <pic:nvPicPr>
                    <pic:cNvPr id="7" name="image-RTB-OAr5HCiH7JdyJ4yFs.png" descr=""/>
                    <pic:cNvPicPr/>
                  </pic:nvPicPr>
                  <pic:blipFill>
                    <a:blip r:embed="rId1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57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drawing>
          <wp:inline distB="0" distL="0" distR="0" distT="0">
            <wp:extent cx="9639300" cy="257175"/>
            <wp:effectExtent b="0" l="0" r="0" t="0"/>
            <wp:docPr id="8" name="image-5xRK4Dw2M26hXOc_ind4H.png"/>
            <a:graphic>
              <a:graphicData uri="http://schemas.openxmlformats.org/drawingml/2006/picture">
                <pic:pic>
                  <pic:nvPicPr>
                    <pic:cNvPr id="8" name="image-5xRK4Dw2M26hXOc_ind4H.png" descr=""/>
                    <pic:cNvPicPr/>
                  </pic:nvPicPr>
                  <pic:blipFill>
                    <a:blip r:embed="rId1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39300" cy="257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4. Mobile UI/UX &amp; Responsive Design Tokens</w:t>
      </w:r>
    </w:p>
    <w:p>
      <w:pPr>
        <w:spacing w:lineRule="auto"/>
      </w:pPr>
      <w:r>
        <w:rPr>
          <w:rFonts w:ascii="Courier" w:hAnsi="Courier"/>
        </w:rPr>
        <w:t xml:space="preserve">📱 Mobile Viewport (&lt; 1024px) ├── Sticky Header with Hamburger Drawer Toggle (☰) ├── Full Width Page Container (ml-0, 100% width) ├── Stacked Single-Column Cards (grid-cols-1) ├── 44px Minimum Touch Targets on Buttons/Inputs └── Sticky Bottom Viewport Action Bar (Revenue &amp; Lock Deal CTA)  💻 Desktop Viewport (≥ 1024px) ├── Fixed 260px Glassmorphism Sidebar Navigation ├── 12-Column Grid Split (7 Cols Configuration | 5 Cols Duo Split) └── Live Real-Time Financial Cascade &amp; Ledger Locking </w:t>
      </w:r>
    </w:p>
    <w:p>
      <w:pPr>
        <w:spacing w:lineRule="auto"/>
      </w:pPr>
      <w:r>
        <w:rPr/>
        <w:t xml:space="preserve">Document generated for ALPHAS OS Management Suite.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image" Target="media/image-bE6aGZkEe5AVNaUZNX5PO.png" TargetMode="Internal"/>
  <Relationship Id="rId6" Type="http://schemas.openxmlformats.org/officeDocument/2006/relationships/image" Target="media/image-Jn-2LlmEVscvani-Gd8X4.png" TargetMode="Internal"/>
  <Relationship Id="rId7" Type="http://schemas.openxmlformats.org/officeDocument/2006/relationships/image" Target="media/image-CVHFTrImeR6yl2qadJc9L.png" TargetMode="Internal"/>
  <Relationship Id="rId8" Type="http://schemas.openxmlformats.org/officeDocument/2006/relationships/image" Target="media/image-oBUS2QEY2lxurgybi7mTT.png" TargetMode="Internal"/>
  <Relationship Id="rId9" Type="http://schemas.openxmlformats.org/officeDocument/2006/relationships/image" Target="media/image-ugW0HnkiafG9435zHuNuy.png" TargetMode="Internal"/>
  <Relationship Id="rId10" Type="http://schemas.openxmlformats.org/officeDocument/2006/relationships/image" Target="media/image-uHeEpIV68vQ8QonQeov9H.png" TargetMode="Internal"/>
  <Relationship Id="rId11" Type="http://schemas.openxmlformats.org/officeDocument/2006/relationships/image" Target="media/image-RTB-OAr5HCiH7JdyJ4yFs.png" TargetMode="Internal"/>
  <Relationship Id="rId12" Type="http://schemas.openxmlformats.org/officeDocument/2006/relationships/image" Target="media/image-5xRK4Dw2M26hXOc_ind4H.png" TargetMode="Internal"/>
  <Relationship Id="rId13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2026-08-01T14:10:44.403Z</dcterms:created>
  <dcterms:modified xsi:type="dcterms:W3CDTF">2026-08-01T14:10:44.403Z</dcterms:modified>
</cp:coreProperties>
</file>