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ign w:val="top"/>
          </w:tcPr>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7500" w:hRule="exact"/>
              </w:trPr>
              <w:tc>
                <w:tcPr>
                  <w:tcBorders>
                    <w:top w:val="none" w:color="FFFFFF" w:sz="0"/>
                    <w:left w:val="none" w:color="FFFFFF" w:sz="0"/>
                    <w:bottom w:val="none" w:color="FFFFFF" w:sz="0"/>
                    <w:right w:val="none" w:color="FFFFFF" w:sz="0"/>
                  </w:tcBorders>
                  <w:shd w:fill="1A2330"/>
                  <w:tcMar>
                    <w:left w:type="dxa" w:w="1200"/>
                    <w:right w:type="dxa" w:w="800"/>
                  </w:tcMar>
                  <w:vAlign w:val="top"/>
                </w:tcPr>
                <w:p>
                  <w:pPr>
                    <w:spacing w:before="2429"/>
                  </w:pPr>
                </w:p>
                <w:p>
                  <w:pPr>
                    <w:spacing w:after="500"/>
                  </w:pPr>
                  <w:r>
                    <w:rPr>
                      <w:rFonts w:ascii="Calibri"/>
                      <w:color w:val="D4875A"/>
                      <w:spacing w:val="60"/>
                      <w:sz w:val="18"/>
                      <w:szCs w:val="18"/>
                    </w:rPr>
                    <w:t xml:space="preserve">I D E X   L A N D I N G   P A G E</w:t>
                  </w:r>
                </w:p>
                <w:p>
                  <w:pPr>
                    <w:spacing w:after="100" w:line="736" w:lineRule="atLeast"/>
                  </w:pPr>
                  <w:r>
                    <w:rPr>
                      <w:rFonts w:ascii="Arial" w:eastAsia="SimHei"/>
                      <w:b/>
                      <w:bCs/>
                      <w:color w:val="FFFFFF"/>
                      <w:sz w:val="64"/>
                      <w:szCs w:val="64"/>
                    </w:rPr>
                    <w:t xml:space="preserve">ICEBERG × IDEX</w:t>
                  </w:r>
                </w:p>
                <w:p>
                  <w:pPr>
                    <w:spacing w:after="100" w:line="736" w:lineRule="atLeast"/>
                  </w:pPr>
                  <w:r>
                    <w:rPr>
                      <w:rFonts w:ascii="Arial" w:eastAsia="SimHei"/>
                      <w:b/>
                      <w:bCs/>
                      <w:color w:val="FFFFFF"/>
                      <w:sz w:val="64"/>
                      <w:szCs w:val="64"/>
                    </w:rPr>
                    <w:t xml:space="preserve">Landing Page</w:t>
                  </w:r>
                </w:p>
                <w:p>
                  <w:pPr>
                    <w:spacing w:after="200" w:line="736" w:lineRule="atLeast"/>
                  </w:pPr>
                  <w:r>
                    <w:rPr>
                      <w:rFonts w:ascii="Arial" w:eastAsia="SimHei"/>
                      <w:b/>
                      <w:bCs/>
                      <w:color w:val="FFFFFF"/>
                      <w:sz w:val="64"/>
                      <w:szCs w:val="64"/>
                    </w:rPr>
                    <w:t xml:space="preserve">Specification</w:t>
                  </w:r>
                </w:p>
                <w:p>
                  <w:pPr>
                    <w:spacing w:after="100"/>
                  </w:pPr>
                  <w:r>
                    <w:rPr>
                      <w:rFonts w:ascii="Arial" w:eastAsia="Microsoft YaHei"/>
                      <w:color w:val="B0B8C0"/>
                      <w:sz w:val="24"/>
                      <w:szCs w:val="24"/>
                    </w:rPr>
                    <w:t xml:space="preserve">Developer Build Spec — Sections, Wireframes, Fields, Integrations</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tcBorders>
                    <w:top w:val="none" w:color="FFFFFF" w:sz="0"/>
                    <w:left w:val="none" w:color="FFFFFF" w:sz="0"/>
                    <w:bottom w:val="none" w:color="FFFFFF" w:sz="0"/>
                    <w:right w:val="none" w:color="FFFFFF" w:sz="0"/>
                  </w:tcBorders>
                  <w:shd w:fill="D4875A"/>
                </w:tcPr>
                <w:p>
                  <w:r>
                    <w:t xml:space="preserve"/>
                  </w:r>
                </w:p>
              </w:tc>
            </w:tr>
          </w:tbl>
          <w:p>
            <w:pPr>
              <w:spacing w:before="800"/>
            </w:pPr>
          </w:p>
          <w:p>
            <w:pPr>
              <w:spacing w:after="100"/>
              <w:ind w:left="1200"/>
            </w:pPr>
            <w:r>
              <w:rPr>
                <w:rFonts w:ascii="Arial" w:eastAsia="Microsoft YaHei"/>
                <w:color w:val="90989F"/>
                <w:sz w:val="28"/>
                <w:szCs w:val="28"/>
              </w:rPr>
              <w:t xml:space="preserve">Agency:  ICEBERG</w:t>
            </w:r>
          </w:p>
          <w:p>
            <w:pPr>
              <w:spacing w:after="100"/>
              <w:ind w:left="1200"/>
            </w:pPr>
            <w:r>
              <w:rPr>
                <w:rFonts w:ascii="Arial" w:eastAsia="Microsoft YaHei"/>
                <w:color w:val="90989F"/>
                <w:sz w:val="28"/>
                <w:szCs w:val="28"/>
              </w:rPr>
              <w:t xml:space="preserve">Event:   IDEX</w:t>
            </w:r>
          </w:p>
          <w:p>
            <w:pPr>
              <w:spacing w:after="100"/>
              <w:ind w:left="1200"/>
            </w:pPr>
            <w:r>
              <w:rPr>
                <w:rFonts w:ascii="Arial" w:eastAsia="Microsoft YaHei"/>
                <w:color w:val="90989F"/>
                <w:sz w:val="28"/>
                <w:szCs w:val="28"/>
              </w:rPr>
              <w:t xml:space="preserve">Document Type:  Development Specification</w:t>
            </w:r>
          </w:p>
          <w:p>
            <w:pPr>
              <w:spacing w:after="100"/>
              <w:ind w:left="1200"/>
            </w:pPr>
            <w:r>
              <w:rPr>
                <w:rFonts w:ascii="Arial" w:eastAsia="Microsoft YaHei"/>
                <w:color w:val="90989F"/>
                <w:sz w:val="28"/>
                <w:szCs w:val="28"/>
              </w:rPr>
              <w:t xml:space="preserve">Status:  Pre-Event Preparation · v1.0</w:t>
            </w:r>
          </w:p>
          <w:p>
            <w:pPr>
              <w:spacing w:after="100"/>
              <w:ind w:left="1200"/>
            </w:pPr>
            <w:r>
              <w:rPr>
                <w:rFonts w:ascii="Arial" w:eastAsia="Microsoft YaHei"/>
                <w:color w:val="90989F"/>
                <w:sz w:val="28"/>
                <w:szCs w:val="28"/>
              </w:rPr>
              <w:t xml:space="preserve">Classification:  Confidential · Internal</w:t>
            </w:r>
          </w:p>
          <w:p>
            <w:pPr>
              <w:spacing w:before="2000"/>
            </w:pPr>
          </w:p>
          <w:p>
            <w:pPr>
              <w:ind w:left="1200"/>
            </w:pPr>
            <w:r>
              <w:rPr>
                <w:color w:val="909090"/>
                <w:sz w:val="22"/>
                <w:szCs w:val="22"/>
              </w:rPr>
              <w:t xml:space="preserve">ICEBERG · IDEX EVENT PLAN</w:t>
            </w:r>
            <w:r>
              <w:t xml:space="preserve">          </w:t>
            </w:r>
            <w:r>
              <w:rPr>
                <w:color w:val="909090"/>
                <w:sz w:val="22"/>
                <w:szCs w:val="22"/>
              </w:rPr>
              <w:t xml:space="preserve">v1.0</w:t>
            </w:r>
          </w:p>
        </w:tc>
      </w:tr>
    </w:tbl>
    <w:p>
      <w:pPr>
        <w:sectPr>
          <w:pgSz w:w="11906" w:h="16838" w:orient="portrait"/>
          <w:pgMar w:top="0" w:right="0" w:bottom="0" w:left="0" w:header="708" w:footer="708" w:gutter="0"/>
          <w:pgNumType/>
          <w:docGrid w:linePitch="360"/>
        </w:sectPr>
      </w:pPr>
    </w:p>
    <w:p>
      <w:pPr>
        <w:spacing w:after="360" w:before="600"/>
        <w:jc w:val="center"/>
      </w:pPr>
      <w:r>
        <w:rPr>
          <w:rFonts w:ascii="Calibri" w:eastAsia="SimHei"/>
          <w:b/>
          <w:bCs/>
          <w:color w:val="0B1220"/>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Document Overview</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Purpose</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Scope — Full Conversion Ecosystem</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Conversion Strategy Recap</w:t>
            </w:r>
            <w:r>
              <w:tab/>
            </w:r>
            <w:r>
              <w:fldChar w:fldCharType="begin"/>
            </w:r>
            <w:r>
              <w:instrText xml:space="preserve"> PAGEREF _Toc100003 \h </w:instrText>
            </w:r>
            <w:r>
              <w:fldChar w:fldCharType="separate"/>
            </w:r>
            <w:r>
              <w:t>2</w:t>
            </w:r>
            <w:r>
              <w:fldChar w:fldCharType="end"/>
            </w:r>
          </w:hyperlink>
        </w:p>
        <w:p>
          <w:pPr>
            <w:pStyle w:val="12"/>
            <w:ind w:left="720"/>
            <w:tabs>
              <w:tab w:val="right" w:leader="dot" w:pos="9026"/>
            </w:tabs>
            <w:spacing w:before="120" w:after="60"/>
          </w:pPr>
          <w:hyperlink w:anchor="_Toc100004" w:history="1">
            <w:r>
              <w:rPr>
                <w:rStyle w:val="Hyperlink"/>
              </w:rPr>
              <w:t>1.4 End-to-End Conversion Flow</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2. Technical Foundation</w:t>
            </w:r>
            <w:r>
              <w:tab/>
            </w:r>
            <w:r>
              <w:fldChar w:fldCharType="begin"/>
            </w:r>
            <w:r>
              <w:instrText xml:space="preserve"> PAGEREF _Toc100005 \h </w:instrText>
            </w:r>
            <w:r>
              <w:fldChar w:fldCharType="separate"/>
            </w:r>
            <w:r>
              <w:t>2</w:t>
            </w:r>
            <w:r>
              <w:fldChar w:fldCharType="end"/>
            </w:r>
          </w:hyperlink>
        </w:p>
        <w:p>
          <w:pPr>
            <w:pStyle w:val="11"/>
            <w:ind w:left="360"/>
            <w:tabs>
              <w:tab w:val="right" w:leader="dot" w:pos="9026"/>
            </w:tabs>
            <w:spacing w:before="120" w:after="60"/>
          </w:pPr>
          <w:hyperlink w:anchor="_Toc100006" w:history="1">
            <w:r>
              <w:rPr>
                <w:rStyle w:val="Hyperlink"/>
              </w:rPr>
              <w:t>2.1 Stack &amp; Hosting</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2.2 Routing &amp; URL Strategy</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2.3 Tracking &amp; Analytics</w:t>
            </w:r>
            <w:r>
              <w:tab/>
            </w:r>
            <w:r>
              <w:fldChar w:fldCharType="begin"/>
            </w:r>
            <w:r>
              <w:instrText xml:space="preserve"> PAGEREF _Toc100008 \h </w:instrText>
            </w:r>
            <w:r>
              <w:fldChar w:fldCharType="separate"/>
            </w:r>
            <w:r>
              <w:t>3</w:t>
            </w:r>
            <w:r>
              <w:fldChar w:fldCharType="end"/>
            </w:r>
          </w:hyperlink>
        </w:p>
        <w:p>
          <w:pPr>
            <w:pStyle w:val="11"/>
            <w:ind w:left="360"/>
            <w:tabs>
              <w:tab w:val="right" w:leader="dot" w:pos="9026"/>
            </w:tabs>
            <w:spacing w:before="120" w:after="60"/>
          </w:pPr>
          <w:hyperlink w:anchor="_Toc100009" w:history="1">
            <w:r>
              <w:rPr>
                <w:rStyle w:val="Hyperlink"/>
              </w:rPr>
              <w:t>2.4 Performance &amp; Accessibility Budget</w:t>
            </w:r>
            <w:r>
              <w:tab/>
            </w:r>
            <w:r>
              <w:fldChar w:fldCharType="begin"/>
            </w:r>
            <w:r>
              <w:instrText xml:space="preserve"> PAGEREF _Toc100009 \h </w:instrText>
            </w:r>
            <w:r>
              <w:fldChar w:fldCharType="separate"/>
            </w:r>
            <w:r>
              <w:t>3</w:t>
            </w:r>
            <w:r>
              <w:fldChar w:fldCharType="end"/>
            </w:r>
          </w:hyperlink>
        </w:p>
        <w:p>
          <w:pPr>
            <w:pStyle w:val="9"/>
            <w:tabs>
              <w:tab w:val="right" w:leader="dot" w:pos="9026"/>
            </w:tabs>
            <w:spacing w:before="120" w:after="60"/>
          </w:pPr>
          <w:hyperlink w:anchor="_Toc100010" w:history="1">
            <w:r>
              <w:rPr>
                <w:rStyle w:val="Hyperlink"/>
              </w:rPr>
              <w:t>3. Page Section Specifications</w:t>
            </w:r>
            <w:r>
              <w:tab/>
            </w:r>
            <w:r>
              <w:fldChar w:fldCharType="begin"/>
            </w:r>
            <w:r>
              <w:instrText xml:space="preserve"> PAGEREF _Toc100010 \h </w:instrText>
            </w:r>
            <w:r>
              <w:fldChar w:fldCharType="separate"/>
            </w:r>
            <w:r>
              <w:t>3</w:t>
            </w:r>
            <w:r>
              <w:fldChar w:fldCharType="end"/>
            </w:r>
          </w:hyperlink>
        </w:p>
        <w:p>
          <w:pPr>
            <w:pStyle w:val="11"/>
            <w:ind w:left="360"/>
            <w:tabs>
              <w:tab w:val="right" w:leader="dot" w:pos="9026"/>
            </w:tabs>
            <w:spacing w:before="120" w:after="60"/>
          </w:pPr>
          <w:hyperlink w:anchor="_Toc100011" w:history="1">
            <w:r>
              <w:rPr>
                <w:rStyle w:val="Hyperlink"/>
              </w:rPr>
              <w:t>3.1 Section 01 — Hero</w:t>
            </w:r>
            <w:r>
              <w:tab/>
            </w:r>
            <w:r>
              <w:fldChar w:fldCharType="begin"/>
            </w:r>
            <w:r>
              <w:instrText xml:space="preserve"> PAGEREF _Toc100011 \h </w:instrText>
            </w:r>
            <w:r>
              <w:fldChar w:fldCharType="separate"/>
            </w:r>
            <w:r>
              <w:t>4</w:t>
            </w:r>
            <w:r>
              <w:fldChar w:fldCharType="end"/>
            </w:r>
          </w:hyperlink>
        </w:p>
        <w:p>
          <w:pPr>
            <w:pStyle w:val="12"/>
            <w:ind w:left="720"/>
            <w:tabs>
              <w:tab w:val="right" w:leader="dot" w:pos="9026"/>
            </w:tabs>
            <w:spacing w:before="120" w:after="60"/>
          </w:pPr>
          <w:hyperlink w:anchor="_Toc100012" w:history="1">
            <w:r>
              <w:rPr>
                <w:rStyle w:val="Hyperlink"/>
              </w:rPr>
              <w:t>Purpose</w:t>
            </w:r>
            <w:r>
              <w:tab/>
            </w:r>
            <w:r>
              <w:fldChar w:fldCharType="begin"/>
            </w:r>
            <w:r>
              <w:instrText xml:space="preserve"> PAGEREF _Toc100012 \h </w:instrText>
            </w:r>
            <w:r>
              <w:fldChar w:fldCharType="separate"/>
            </w:r>
            <w:r>
              <w:t>4</w:t>
            </w:r>
            <w:r>
              <w:fldChar w:fldCharType="end"/>
            </w:r>
          </w:hyperlink>
        </w:p>
        <w:p>
          <w:pPr>
            <w:pStyle w:val="12"/>
            <w:ind w:left="720"/>
            <w:tabs>
              <w:tab w:val="right" w:leader="dot" w:pos="9026"/>
            </w:tabs>
            <w:spacing w:before="120" w:after="60"/>
          </w:pPr>
          <w:hyperlink w:anchor="_Toc100013" w:history="1">
            <w:r>
              <w:rPr>
                <w:rStyle w:val="Hyperlink"/>
              </w:rPr>
              <w:t>Wireframe</w:t>
            </w:r>
            <w:r>
              <w:tab/>
            </w:r>
            <w:r>
              <w:fldChar w:fldCharType="begin"/>
            </w:r>
            <w:r>
              <w:instrText xml:space="preserve"> PAGEREF _Toc100013 \h </w:instrText>
            </w:r>
            <w:r>
              <w:fldChar w:fldCharType="separate"/>
            </w:r>
            <w:r>
              <w:t>4</w:t>
            </w:r>
            <w:r>
              <w:fldChar w:fldCharType="end"/>
            </w:r>
          </w:hyperlink>
        </w:p>
        <w:p>
          <w:pPr>
            <w:pStyle w:val="12"/>
            <w:ind w:left="720"/>
            <w:tabs>
              <w:tab w:val="right" w:leader="dot" w:pos="9026"/>
            </w:tabs>
            <w:spacing w:before="120" w:after="60"/>
          </w:pPr>
          <w:hyperlink w:anchor="_Toc100014" w:history="1">
            <w:r>
              <w:rPr>
                <w:rStyle w:val="Hyperlink"/>
              </w:rPr>
              <w:t>Exact Copy</w:t>
            </w:r>
            <w:r>
              <w:tab/>
            </w:r>
            <w:r>
              <w:fldChar w:fldCharType="begin"/>
            </w:r>
            <w:r>
              <w:instrText xml:space="preserve"> PAGEREF _Toc100014 \h </w:instrText>
            </w:r>
            <w:r>
              <w:fldChar w:fldCharType="separate"/>
            </w:r>
            <w:r>
              <w:t>4</w:t>
            </w:r>
            <w:r>
              <w:fldChar w:fldCharType="end"/>
            </w:r>
          </w:hyperlink>
        </w:p>
        <w:p>
          <w:pPr>
            <w:pStyle w:val="12"/>
            <w:ind w:left="720"/>
            <w:tabs>
              <w:tab w:val="right" w:leader="dot" w:pos="9026"/>
            </w:tabs>
            <w:spacing w:before="120" w:after="60"/>
          </w:pPr>
          <w:hyperlink w:anchor="_Toc100015" w:history="1">
            <w:r>
              <w:rPr>
                <w:rStyle w:val="Hyperlink"/>
              </w:rPr>
              <w:t>Components</w:t>
            </w:r>
            <w:r>
              <w:tab/>
            </w:r>
            <w:r>
              <w:fldChar w:fldCharType="begin"/>
            </w:r>
            <w:r>
              <w:instrText xml:space="preserve"> PAGEREF _Toc100015 \h </w:instrText>
            </w:r>
            <w:r>
              <w:fldChar w:fldCharType="separate"/>
            </w:r>
            <w:r>
              <w:t>5</w:t>
            </w:r>
            <w:r>
              <w:fldChar w:fldCharType="end"/>
            </w:r>
          </w:hyperlink>
        </w:p>
        <w:p>
          <w:pPr>
            <w:pStyle w:val="12"/>
            <w:ind w:left="720"/>
            <w:tabs>
              <w:tab w:val="right" w:leader="dot" w:pos="9026"/>
            </w:tabs>
            <w:spacing w:before="120" w:after="60"/>
          </w:pPr>
          <w:hyperlink w:anchor="_Toc100016" w:history="1">
            <w:r>
              <w:rPr>
                <w:rStyle w:val="Hyperlink"/>
              </w:rPr>
              <w:t>Behavior</w:t>
            </w:r>
            <w:r>
              <w:tab/>
            </w:r>
            <w:r>
              <w:fldChar w:fldCharType="begin"/>
            </w:r>
            <w:r>
              <w:instrText xml:space="preserve"> PAGEREF _Toc100016 \h </w:instrText>
            </w:r>
            <w:r>
              <w:fldChar w:fldCharType="separate"/>
            </w:r>
            <w:r>
              <w:t>6</w:t>
            </w:r>
            <w:r>
              <w:fldChar w:fldCharType="end"/>
            </w:r>
          </w:hyperlink>
        </w:p>
        <w:p>
          <w:pPr>
            <w:pStyle w:val="12"/>
            <w:ind w:left="720"/>
            <w:tabs>
              <w:tab w:val="right" w:leader="dot" w:pos="9026"/>
            </w:tabs>
            <w:spacing w:before="120" w:after="60"/>
          </w:pPr>
          <w:hyperlink w:anchor="_Toc100017" w:history="1">
            <w:r>
              <w:rPr>
                <w:rStyle w:val="Hyperlink"/>
              </w:rPr>
              <w:t>Acceptance Criteria</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3.2 Section 02 — Why ICEBERG for IDEX</w:t>
            </w:r>
            <w:r>
              <w:tab/>
            </w:r>
            <w:r>
              <w:fldChar w:fldCharType="begin"/>
            </w:r>
            <w:r>
              <w:instrText xml:space="preserve"> PAGEREF _Toc100018 \h </w:instrText>
            </w:r>
            <w:r>
              <w:fldChar w:fldCharType="separate"/>
            </w:r>
            <w:r>
              <w:t>7</w:t>
            </w:r>
            <w:r>
              <w:fldChar w:fldCharType="end"/>
            </w:r>
          </w:hyperlink>
        </w:p>
        <w:p>
          <w:pPr>
            <w:pStyle w:val="12"/>
            <w:ind w:left="720"/>
            <w:tabs>
              <w:tab w:val="right" w:leader="dot" w:pos="9026"/>
            </w:tabs>
            <w:spacing w:before="120" w:after="60"/>
          </w:pPr>
          <w:hyperlink w:anchor="_Toc100019" w:history="1">
            <w:r>
              <w:rPr>
                <w:rStyle w:val="Hyperlink"/>
              </w:rPr>
              <w:t>Purpose</w:t>
            </w:r>
            <w:r>
              <w:tab/>
            </w:r>
            <w:r>
              <w:fldChar w:fldCharType="begin"/>
            </w:r>
            <w:r>
              <w:instrText xml:space="preserve"> PAGEREF _Toc100019 \h </w:instrText>
            </w:r>
            <w:r>
              <w:fldChar w:fldCharType="separate"/>
            </w:r>
            <w:r>
              <w:t>7</w:t>
            </w:r>
            <w:r>
              <w:fldChar w:fldCharType="end"/>
            </w:r>
          </w:hyperlink>
        </w:p>
        <w:p>
          <w:pPr>
            <w:pStyle w:val="12"/>
            <w:ind w:left="720"/>
            <w:tabs>
              <w:tab w:val="right" w:leader="dot" w:pos="9026"/>
            </w:tabs>
            <w:spacing w:before="120" w:after="60"/>
          </w:pPr>
          <w:hyperlink w:anchor="_Toc100020" w:history="1">
            <w:r>
              <w:rPr>
                <w:rStyle w:val="Hyperlink"/>
              </w:rPr>
              <w:t>Wireframe</w:t>
            </w:r>
            <w:r>
              <w:tab/>
            </w:r>
            <w:r>
              <w:fldChar w:fldCharType="begin"/>
            </w:r>
            <w:r>
              <w:instrText xml:space="preserve"> PAGEREF _Toc100020 \h </w:instrText>
            </w:r>
            <w:r>
              <w:fldChar w:fldCharType="separate"/>
            </w:r>
            <w:r>
              <w:t>7</w:t>
            </w:r>
            <w:r>
              <w:fldChar w:fldCharType="end"/>
            </w:r>
          </w:hyperlink>
        </w:p>
        <w:p>
          <w:pPr>
            <w:pStyle w:val="12"/>
            <w:ind w:left="720"/>
            <w:tabs>
              <w:tab w:val="right" w:leader="dot" w:pos="9026"/>
            </w:tabs>
            <w:spacing w:before="120" w:after="60"/>
          </w:pPr>
          <w:hyperlink w:anchor="_Toc100021" w:history="1">
            <w:r>
              <w:rPr>
                <w:rStyle w:val="Hyperlink"/>
              </w:rPr>
              <w:t>Pillar Copy</w:t>
            </w:r>
            <w:r>
              <w:tab/>
            </w:r>
            <w:r>
              <w:fldChar w:fldCharType="begin"/>
            </w:r>
            <w:r>
              <w:instrText xml:space="preserve"> PAGEREF _Toc100021 \h </w:instrText>
            </w:r>
            <w:r>
              <w:fldChar w:fldCharType="separate"/>
            </w:r>
            <w:r>
              <w:t>7</w:t>
            </w:r>
            <w:r>
              <w:fldChar w:fldCharType="end"/>
            </w:r>
          </w:hyperlink>
        </w:p>
        <w:p>
          <w:pPr>
            <w:pStyle w:val="12"/>
            <w:ind w:left="720"/>
            <w:tabs>
              <w:tab w:val="right" w:leader="dot" w:pos="9026"/>
            </w:tabs>
            <w:spacing w:before="120" w:after="60"/>
          </w:pPr>
          <w:hyperlink w:anchor="_Toc100022" w:history="1">
            <w:r>
              <w:rPr>
                <w:rStyle w:val="Hyperlink"/>
              </w:rPr>
              <w:t>Components</w:t>
            </w:r>
            <w:r>
              <w:tab/>
            </w:r>
            <w:r>
              <w:fldChar w:fldCharType="begin"/>
            </w:r>
            <w:r>
              <w:instrText xml:space="preserve"> PAGEREF _Toc100022 \h </w:instrText>
            </w:r>
            <w:r>
              <w:fldChar w:fldCharType="separate"/>
            </w:r>
            <w:r>
              <w:t>7</w:t>
            </w:r>
            <w:r>
              <w:fldChar w:fldCharType="end"/>
            </w:r>
          </w:hyperlink>
        </w:p>
        <w:p>
          <w:pPr>
            <w:pStyle w:val="12"/>
            <w:ind w:left="720"/>
            <w:tabs>
              <w:tab w:val="right" w:leader="dot" w:pos="9026"/>
            </w:tabs>
            <w:spacing w:before="120" w:after="60"/>
          </w:pPr>
          <w:hyperlink w:anchor="_Toc100023" w:history="1">
            <w:r>
              <w:rPr>
                <w:rStyle w:val="Hyperlink"/>
              </w:rPr>
              <w:t>Acceptance Criteria</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3.3 Section 03 — ICEBERG IDEX Services</w:t>
            </w:r>
            <w:r>
              <w:tab/>
            </w:r>
            <w:r>
              <w:fldChar w:fldCharType="begin"/>
            </w:r>
            <w:r>
              <w:instrText xml:space="preserve"> PAGEREF _Toc100024 \h </w:instrText>
            </w:r>
            <w:r>
              <w:fldChar w:fldCharType="separate"/>
            </w:r>
            <w:r>
              <w:t>9</w:t>
            </w:r>
            <w:r>
              <w:fldChar w:fldCharType="end"/>
            </w:r>
          </w:hyperlink>
        </w:p>
        <w:p>
          <w:pPr>
            <w:pStyle w:val="12"/>
            <w:ind w:left="720"/>
            <w:tabs>
              <w:tab w:val="right" w:leader="dot" w:pos="9026"/>
            </w:tabs>
            <w:spacing w:before="120" w:after="60"/>
          </w:pPr>
          <w:hyperlink w:anchor="_Toc100025" w:history="1">
            <w:r>
              <w:rPr>
                <w:rStyle w:val="Hyperlink"/>
              </w:rPr>
              <w:t>Purpose</w:t>
            </w:r>
            <w:r>
              <w:tab/>
            </w:r>
            <w:r>
              <w:fldChar w:fldCharType="begin"/>
            </w:r>
            <w:r>
              <w:instrText xml:space="preserve"> PAGEREF _Toc100025 \h </w:instrText>
            </w:r>
            <w:r>
              <w:fldChar w:fldCharType="separate"/>
            </w:r>
            <w:r>
              <w:t>9</w:t>
            </w:r>
            <w:r>
              <w:fldChar w:fldCharType="end"/>
            </w:r>
          </w:hyperlink>
        </w:p>
        <w:p>
          <w:pPr>
            <w:pStyle w:val="12"/>
            <w:ind w:left="720"/>
            <w:tabs>
              <w:tab w:val="right" w:leader="dot" w:pos="9026"/>
            </w:tabs>
            <w:spacing w:before="120" w:after="60"/>
          </w:pPr>
          <w:hyperlink w:anchor="_Toc100026" w:history="1">
            <w:r>
              <w:rPr>
                <w:rStyle w:val="Hyperlink"/>
              </w:rPr>
              <w:t>Wireframe</w:t>
            </w:r>
            <w:r>
              <w:tab/>
            </w:r>
            <w:r>
              <w:fldChar w:fldCharType="begin"/>
            </w:r>
            <w:r>
              <w:instrText xml:space="preserve"> PAGEREF _Toc100026 \h </w:instrText>
            </w:r>
            <w:r>
              <w:fldChar w:fldCharType="separate"/>
            </w:r>
            <w:r>
              <w:t>9</w:t>
            </w:r>
            <w:r>
              <w:fldChar w:fldCharType="end"/>
            </w:r>
          </w:hyperlink>
        </w:p>
        <w:p>
          <w:pPr>
            <w:pStyle w:val="12"/>
            <w:ind w:left="720"/>
            <w:tabs>
              <w:tab w:val="right" w:leader="dot" w:pos="9026"/>
            </w:tabs>
            <w:spacing w:before="120" w:after="60"/>
          </w:pPr>
          <w:hyperlink w:anchor="_Toc100027" w:history="1">
            <w:r>
              <w:rPr>
                <w:rStyle w:val="Hyperlink"/>
              </w:rPr>
              <w:t>Service Copy</w:t>
            </w:r>
            <w:r>
              <w:tab/>
            </w:r>
            <w:r>
              <w:fldChar w:fldCharType="begin"/>
            </w:r>
            <w:r>
              <w:instrText xml:space="preserve"> PAGEREF _Toc100027 \h </w:instrText>
            </w:r>
            <w:r>
              <w:fldChar w:fldCharType="separate"/>
            </w:r>
            <w:r>
              <w:t>9</w:t>
            </w:r>
            <w:r>
              <w:fldChar w:fldCharType="end"/>
            </w:r>
          </w:hyperlink>
        </w:p>
        <w:p>
          <w:pPr>
            <w:pStyle w:val="12"/>
            <w:ind w:left="720"/>
            <w:tabs>
              <w:tab w:val="right" w:leader="dot" w:pos="9026"/>
            </w:tabs>
            <w:spacing w:before="120" w:after="60"/>
          </w:pPr>
          <w:hyperlink w:anchor="_Toc100028" w:history="1">
            <w:r>
              <w:rPr>
                <w:rStyle w:val="Hyperlink"/>
              </w:rPr>
              <w:t>Behavior</w:t>
            </w:r>
            <w:r>
              <w:tab/>
            </w:r>
            <w:r>
              <w:fldChar w:fldCharType="begin"/>
            </w:r>
            <w:r>
              <w:instrText xml:space="preserve"> PAGEREF _Toc100028 \h </w:instrText>
            </w:r>
            <w:r>
              <w:fldChar w:fldCharType="separate"/>
            </w:r>
            <w:r>
              <w:t>9</w:t>
            </w:r>
            <w:r>
              <w:fldChar w:fldCharType="end"/>
            </w:r>
          </w:hyperlink>
        </w:p>
        <w:p>
          <w:pPr>
            <w:pStyle w:val="12"/>
            <w:ind w:left="720"/>
            <w:tabs>
              <w:tab w:val="right" w:leader="dot" w:pos="9026"/>
            </w:tabs>
            <w:spacing w:before="120" w:after="60"/>
          </w:pPr>
          <w:hyperlink w:anchor="_Toc100029" w:history="1">
            <w:r>
              <w:rPr>
                <w:rStyle w:val="Hyperlink"/>
              </w:rPr>
              <w:t>Acceptance Criteria</w:t>
            </w:r>
            <w:r>
              <w:tab/>
            </w:r>
            <w:r>
              <w:fldChar w:fldCharType="begin"/>
            </w:r>
            <w:r>
              <w:instrText xml:space="preserve"> PAGEREF _Toc100029 \h </w:instrText>
            </w:r>
            <w:r>
              <w:fldChar w:fldCharType="separate"/>
            </w:r>
            <w:r>
              <w:t>10</w:t>
            </w:r>
            <w:r>
              <w:fldChar w:fldCharType="end"/>
            </w:r>
          </w:hyperlink>
        </w:p>
        <w:p>
          <w:pPr>
            <w:pStyle w:val="11"/>
            <w:ind w:left="360"/>
            <w:tabs>
              <w:tab w:val="right" w:leader="dot" w:pos="9026"/>
            </w:tabs>
            <w:spacing w:before="120" w:after="60"/>
          </w:pPr>
          <w:hyperlink w:anchor="_Toc100030" w:history="1">
            <w:r>
              <w:rPr>
                <w:rStyle w:val="Hyperlink"/>
              </w:rPr>
              <w:t>3.4 Section 04 — IDEX 3-Month Package</w:t>
            </w:r>
            <w:r>
              <w:tab/>
            </w:r>
            <w:r>
              <w:fldChar w:fldCharType="begin"/>
            </w:r>
            <w:r>
              <w:instrText xml:space="preserve"> PAGEREF _Toc100030 \h </w:instrText>
            </w:r>
            <w:r>
              <w:fldChar w:fldCharType="separate"/>
            </w:r>
            <w:r>
              <w:t>10</w:t>
            </w:r>
            <w:r>
              <w:fldChar w:fldCharType="end"/>
            </w:r>
          </w:hyperlink>
        </w:p>
        <w:p>
          <w:pPr>
            <w:pStyle w:val="12"/>
            <w:ind w:left="720"/>
            <w:tabs>
              <w:tab w:val="right" w:leader="dot" w:pos="9026"/>
            </w:tabs>
            <w:spacing w:before="120" w:after="60"/>
          </w:pPr>
          <w:hyperlink w:anchor="_Toc100031" w:history="1">
            <w:r>
              <w:rPr>
                <w:rStyle w:val="Hyperlink"/>
              </w:rPr>
              <w:t>Purpose</w:t>
            </w:r>
            <w:r>
              <w:tab/>
            </w:r>
            <w:r>
              <w:fldChar w:fldCharType="begin"/>
            </w:r>
            <w:r>
              <w:instrText xml:space="preserve"> PAGEREF _Toc100031 \h </w:instrText>
            </w:r>
            <w:r>
              <w:fldChar w:fldCharType="separate"/>
            </w:r>
            <w:r>
              <w:t>10</w:t>
            </w:r>
            <w:r>
              <w:fldChar w:fldCharType="end"/>
            </w:r>
          </w:hyperlink>
        </w:p>
        <w:p>
          <w:pPr>
            <w:pStyle w:val="12"/>
            <w:ind w:left="720"/>
            <w:tabs>
              <w:tab w:val="right" w:leader="dot" w:pos="9026"/>
            </w:tabs>
            <w:spacing w:before="120" w:after="60"/>
          </w:pPr>
          <w:hyperlink w:anchor="_Toc100032" w:history="1">
            <w:r>
              <w:rPr>
                <w:rStyle w:val="Hyperlink"/>
              </w:rPr>
              <w:t>Wireframe</w:t>
            </w:r>
            <w:r>
              <w:tab/>
            </w:r>
            <w:r>
              <w:fldChar w:fldCharType="begin"/>
            </w:r>
            <w:r>
              <w:instrText xml:space="preserve"> PAGEREF _Toc100032 \h </w:instrText>
            </w:r>
            <w:r>
              <w:fldChar w:fldCharType="separate"/>
            </w:r>
            <w:r>
              <w:t>10</w:t>
            </w:r>
            <w:r>
              <w:fldChar w:fldCharType="end"/>
            </w:r>
          </w:hyperlink>
        </w:p>
        <w:p>
          <w:pPr>
            <w:pStyle w:val="12"/>
            <w:ind w:left="720"/>
            <w:tabs>
              <w:tab w:val="right" w:leader="dot" w:pos="9026"/>
            </w:tabs>
            <w:spacing w:before="120" w:after="60"/>
          </w:pPr>
          <w:hyperlink w:anchor="_Toc100033" w:history="1">
            <w:r>
              <w:rPr>
                <w:rStyle w:val="Hyperlink"/>
              </w:rPr>
              <w:t>Package Spec</w:t>
            </w:r>
            <w:r>
              <w:tab/>
            </w:r>
            <w:r>
              <w:fldChar w:fldCharType="begin"/>
            </w:r>
            <w:r>
              <w:instrText xml:space="preserve"> PAGEREF _Toc100033 \h </w:instrText>
            </w:r>
            <w:r>
              <w:fldChar w:fldCharType="separate"/>
            </w:r>
            <w:r>
              <w:t>10</w:t>
            </w:r>
            <w:r>
              <w:fldChar w:fldCharType="end"/>
            </w:r>
          </w:hyperlink>
        </w:p>
        <w:p>
          <w:pPr>
            <w:pStyle w:val="12"/>
            <w:ind w:left="720"/>
            <w:tabs>
              <w:tab w:val="right" w:leader="dot" w:pos="9026"/>
            </w:tabs>
            <w:spacing w:before="120" w:after="60"/>
          </w:pPr>
          <w:hyperlink w:anchor="_Toc100034" w:history="1">
            <w:r>
              <w:rPr>
                <w:rStyle w:val="Hyperlink"/>
              </w:rPr>
              <w:t>Promotional Offers</w:t>
            </w:r>
            <w:r>
              <w:tab/>
            </w:r>
            <w:r>
              <w:fldChar w:fldCharType="begin"/>
            </w:r>
            <w:r>
              <w:instrText xml:space="preserve"> PAGEREF _Toc100034 \h </w:instrText>
            </w:r>
            <w:r>
              <w:fldChar w:fldCharType="separate"/>
            </w:r>
            <w:r>
              <w:t>11</w:t>
            </w:r>
            <w:r>
              <w:fldChar w:fldCharType="end"/>
            </w:r>
          </w:hyperlink>
        </w:p>
        <w:p>
          <w:pPr>
            <w:pStyle w:val="12"/>
            <w:ind w:left="720"/>
            <w:tabs>
              <w:tab w:val="right" w:leader="dot" w:pos="9026"/>
            </w:tabs>
            <w:spacing w:before="120" w:after="60"/>
          </w:pPr>
          <w:hyperlink w:anchor="_Toc100035" w:history="1">
            <w:r>
              <w:rPr>
                <w:rStyle w:val="Hyperlink"/>
              </w:rPr>
              <w:t>Acceptance Criteria</w:t>
            </w:r>
            <w:r>
              <w:tab/>
            </w:r>
            <w:r>
              <w:fldChar w:fldCharType="begin"/>
            </w:r>
            <w:r>
              <w:instrText xml:space="preserve"> PAGEREF _Toc100035 \h </w:instrText>
            </w:r>
            <w:r>
              <w:fldChar w:fldCharType="separate"/>
            </w:r>
            <w:r>
              <w:t>11</w:t>
            </w:r>
            <w:r>
              <w:fldChar w:fldCharType="end"/>
            </w:r>
          </w:hyperlink>
        </w:p>
        <w:p>
          <w:pPr>
            <w:pStyle w:val="11"/>
            <w:ind w:left="360"/>
            <w:tabs>
              <w:tab w:val="right" w:leader="dot" w:pos="9026"/>
            </w:tabs>
            <w:spacing w:before="120" w:after="60"/>
          </w:pPr>
          <w:hyperlink w:anchor="_Toc100036" w:history="1">
            <w:r>
              <w:rPr>
                <w:rStyle w:val="Hyperlink"/>
              </w:rPr>
              <w:t>3.5 Section 05 — Our Work (Client Showcase)</w:t>
            </w:r>
            <w:r>
              <w:tab/>
            </w:r>
            <w:r>
              <w:fldChar w:fldCharType="begin"/>
            </w:r>
            <w:r>
              <w:instrText xml:space="preserve"> PAGEREF _Toc100036 \h </w:instrText>
            </w:r>
            <w:r>
              <w:fldChar w:fldCharType="separate"/>
            </w:r>
            <w:r>
              <w:t>11</w:t>
            </w:r>
            <w:r>
              <w:fldChar w:fldCharType="end"/>
            </w:r>
          </w:hyperlink>
        </w:p>
        <w:p>
          <w:pPr>
            <w:pStyle w:val="12"/>
            <w:ind w:left="720"/>
            <w:tabs>
              <w:tab w:val="right" w:leader="dot" w:pos="9026"/>
            </w:tabs>
            <w:spacing w:before="120" w:after="60"/>
          </w:pPr>
          <w:hyperlink w:anchor="_Toc100037" w:history="1">
            <w:r>
              <w:rPr>
                <w:rStyle w:val="Hyperlink"/>
              </w:rPr>
              <w:t>Purpose</w:t>
            </w:r>
            <w:r>
              <w:tab/>
            </w:r>
            <w:r>
              <w:fldChar w:fldCharType="begin"/>
            </w:r>
            <w:r>
              <w:instrText xml:space="preserve"> PAGEREF _Toc100037 \h </w:instrText>
            </w:r>
            <w:r>
              <w:fldChar w:fldCharType="separate"/>
            </w:r>
            <w:r>
              <w:t>11</w:t>
            </w:r>
            <w:r>
              <w:fldChar w:fldCharType="end"/>
            </w:r>
          </w:hyperlink>
        </w:p>
        <w:p>
          <w:pPr>
            <w:pStyle w:val="12"/>
            <w:ind w:left="720"/>
            <w:tabs>
              <w:tab w:val="right" w:leader="dot" w:pos="9026"/>
            </w:tabs>
            <w:spacing w:before="120" w:after="60"/>
          </w:pPr>
          <w:hyperlink w:anchor="_Toc100038" w:history="1">
            <w:r>
              <w:rPr>
                <w:rStyle w:val="Hyperlink"/>
              </w:rPr>
              <w:t>Wireframe</w:t>
            </w:r>
            <w:r>
              <w:tab/>
            </w:r>
            <w:r>
              <w:fldChar w:fldCharType="begin"/>
            </w:r>
            <w:r>
              <w:instrText xml:space="preserve"> PAGEREF _Toc100038 \h </w:instrText>
            </w:r>
            <w:r>
              <w:fldChar w:fldCharType="separate"/>
            </w:r>
            <w:r>
              <w:t>12</w:t>
            </w:r>
            <w:r>
              <w:fldChar w:fldCharType="end"/>
            </w:r>
          </w:hyperlink>
        </w:p>
        <w:p>
          <w:pPr>
            <w:pStyle w:val="12"/>
            <w:ind w:left="720"/>
            <w:tabs>
              <w:tab w:val="right" w:leader="dot" w:pos="9026"/>
            </w:tabs>
            <w:spacing w:before="120" w:after="60"/>
          </w:pPr>
          <w:hyperlink w:anchor="_Toc100039" w:history="1">
            <w:r>
              <w:rPr>
                <w:rStyle w:val="Hyperlink"/>
              </w:rPr>
              <w:t>Case Study Copy — Draft Narratives</w:t>
            </w:r>
            <w:r>
              <w:tab/>
            </w:r>
            <w:r>
              <w:fldChar w:fldCharType="begin"/>
            </w:r>
            <w:r>
              <w:instrText xml:space="preserve"> PAGEREF _Toc100039 \h </w:instrText>
            </w:r>
            <w:r>
              <w:fldChar w:fldCharType="separate"/>
            </w:r>
            <w:r>
              <w:t>12</w:t>
            </w:r>
            <w:r>
              <w:fldChar w:fldCharType="end"/>
            </w:r>
          </w:hyperlink>
        </w:p>
        <w:p>
          <w:pPr>
            <w:pStyle w:val="12"/>
            <w:ind w:left="720"/>
            <w:tabs>
              <w:tab w:val="right" w:leader="dot" w:pos="9026"/>
            </w:tabs>
            <w:spacing w:before="120" w:after="60"/>
          </w:pPr>
          <w:hyperlink w:anchor="_Toc100040" w:history="1">
            <w:r>
              <w:rPr>
                <w:rStyle w:val="Hyperlink"/>
              </w:rPr>
              <w:t>Dentaquick — Dental care / D2C</w:t>
            </w:r>
            <w:r>
              <w:tab/>
            </w:r>
            <w:r>
              <w:fldChar w:fldCharType="begin"/>
            </w:r>
            <w:r>
              <w:instrText xml:space="preserve"> PAGEREF _Toc100040 \h </w:instrText>
            </w:r>
            <w:r>
              <w:fldChar w:fldCharType="separate"/>
            </w:r>
            <w:r>
              <w:t>12</w:t>
            </w:r>
            <w:r>
              <w:fldChar w:fldCharType="end"/>
            </w:r>
          </w:hyperlink>
        </w:p>
        <w:p>
          <w:pPr>
            <w:pStyle w:val="12"/>
            <w:ind w:left="720"/>
            <w:tabs>
              <w:tab w:val="right" w:leader="dot" w:pos="9026"/>
            </w:tabs>
            <w:spacing w:before="120" w:after="60"/>
          </w:pPr>
          <w:hyperlink w:anchor="_Toc100041" w:history="1">
            <w:r>
              <w:rPr>
                <w:rStyle w:val="Hyperlink"/>
              </w:rPr>
              <w:t>Acrostone — Healthcare / medical devices</w:t>
            </w:r>
            <w:r>
              <w:tab/>
            </w:r>
            <w:r>
              <w:fldChar w:fldCharType="begin"/>
            </w:r>
            <w:r>
              <w:instrText xml:space="preserve"> PAGEREF _Toc100041 \h </w:instrText>
            </w:r>
            <w:r>
              <w:fldChar w:fldCharType="separate"/>
            </w:r>
            <w:r>
              <w:t>13</w:t>
            </w:r>
            <w:r>
              <w:fldChar w:fldCharType="end"/>
            </w:r>
          </w:hyperlink>
        </w:p>
        <w:p>
          <w:pPr>
            <w:pStyle w:val="12"/>
            <w:ind w:left="720"/>
            <w:tabs>
              <w:tab w:val="right" w:leader="dot" w:pos="9026"/>
            </w:tabs>
            <w:spacing w:before="120" w:after="60"/>
          </w:pPr>
          <w:hyperlink w:anchor="_Toc100042" w:history="1">
            <w:r>
              <w:rPr>
                <w:rStyle w:val="Hyperlink"/>
              </w:rPr>
              <w:t>Waterpik — Established consumer brand</w:t>
            </w:r>
            <w:r>
              <w:tab/>
            </w:r>
            <w:r>
              <w:fldChar w:fldCharType="begin"/>
            </w:r>
            <w:r>
              <w:instrText xml:space="preserve"> PAGEREF _Toc100042 \h </w:instrText>
            </w:r>
            <w:r>
              <w:fldChar w:fldCharType="separate"/>
            </w:r>
            <w:r>
              <w:t>14</w:t>
            </w:r>
            <w:r>
              <w:fldChar w:fldCharType="end"/>
            </w:r>
          </w:hyperlink>
        </w:p>
        <w:p>
          <w:pPr>
            <w:pStyle w:val="12"/>
            <w:ind w:left="720"/>
            <w:tabs>
              <w:tab w:val="right" w:leader="dot" w:pos="9026"/>
            </w:tabs>
            <w:spacing w:before="120" w:after="60"/>
          </w:pPr>
          <w:hyperlink w:anchor="_Toc100043" w:history="1">
            <w:r>
              <w:rPr>
                <w:rStyle w:val="Hyperlink"/>
              </w:rPr>
              <w:t>Acceptance Criteria</w:t>
            </w:r>
            <w:r>
              <w:tab/>
            </w:r>
            <w:r>
              <w:fldChar w:fldCharType="begin"/>
            </w:r>
            <w:r>
              <w:instrText xml:space="preserve"> PAGEREF _Toc100043 \h </w:instrText>
            </w:r>
            <w:r>
              <w:fldChar w:fldCharType="separate"/>
            </w:r>
            <w:r>
              <w:t>14</w:t>
            </w:r>
            <w:r>
              <w:fldChar w:fldCharType="end"/>
            </w:r>
          </w:hyperlink>
        </w:p>
        <w:p>
          <w:pPr>
            <w:pStyle w:val="11"/>
            <w:ind w:left="360"/>
            <w:tabs>
              <w:tab w:val="right" w:leader="dot" w:pos="9026"/>
            </w:tabs>
            <w:spacing w:before="120" w:after="60"/>
          </w:pPr>
          <w:hyperlink w:anchor="_Toc100044" w:history="1">
            <w:r>
              <w:rPr>
                <w:rStyle w:val="Hyperlink"/>
              </w:rPr>
              <w:t>3.6 Section 06 — Free IDEX Digital Audit (Lead Magnet)</w:t>
            </w:r>
            <w:r>
              <w:tab/>
            </w:r>
            <w:r>
              <w:fldChar w:fldCharType="begin"/>
            </w:r>
            <w:r>
              <w:instrText xml:space="preserve"> PAGEREF _Toc100044 \h </w:instrText>
            </w:r>
            <w:r>
              <w:fldChar w:fldCharType="separate"/>
            </w:r>
            <w:r>
              <w:t>15</w:t>
            </w:r>
            <w:r>
              <w:fldChar w:fldCharType="end"/>
            </w:r>
          </w:hyperlink>
        </w:p>
        <w:p>
          <w:pPr>
            <w:pStyle w:val="12"/>
            <w:ind w:left="720"/>
            <w:tabs>
              <w:tab w:val="right" w:leader="dot" w:pos="9026"/>
            </w:tabs>
            <w:spacing w:before="120" w:after="60"/>
          </w:pPr>
          <w:hyperlink w:anchor="_Toc100045" w:history="1">
            <w:r>
              <w:rPr>
                <w:rStyle w:val="Hyperlink"/>
              </w:rPr>
              <w:t>Purpose</w:t>
            </w:r>
            <w:r>
              <w:tab/>
            </w:r>
            <w:r>
              <w:fldChar w:fldCharType="begin"/>
            </w:r>
            <w:r>
              <w:instrText xml:space="preserve"> PAGEREF _Toc100045 \h </w:instrText>
            </w:r>
            <w:r>
              <w:fldChar w:fldCharType="separate"/>
            </w:r>
            <w:r>
              <w:t>15</w:t>
            </w:r>
            <w:r>
              <w:fldChar w:fldCharType="end"/>
            </w:r>
          </w:hyperlink>
        </w:p>
        <w:p>
          <w:pPr>
            <w:pStyle w:val="12"/>
            <w:ind w:left="720"/>
            <w:tabs>
              <w:tab w:val="right" w:leader="dot" w:pos="9026"/>
            </w:tabs>
            <w:spacing w:before="120" w:after="60"/>
          </w:pPr>
          <w:hyperlink w:anchor="_Toc100046" w:history="1">
            <w:r>
              <w:rPr>
                <w:rStyle w:val="Hyperlink"/>
              </w:rPr>
              <w:t>Wireframe</w:t>
            </w:r>
            <w:r>
              <w:tab/>
            </w:r>
            <w:r>
              <w:fldChar w:fldCharType="begin"/>
            </w:r>
            <w:r>
              <w:instrText xml:space="preserve"> PAGEREF _Toc100046 \h </w:instrText>
            </w:r>
            <w:r>
              <w:fldChar w:fldCharType="separate"/>
            </w:r>
            <w:r>
              <w:t>15</w:t>
            </w:r>
            <w:r>
              <w:fldChar w:fldCharType="end"/>
            </w:r>
          </w:hyperlink>
        </w:p>
        <w:p>
          <w:pPr>
            <w:pStyle w:val="12"/>
            <w:ind w:left="720"/>
            <w:tabs>
              <w:tab w:val="right" w:leader="dot" w:pos="9026"/>
            </w:tabs>
            <w:spacing w:before="120" w:after="60"/>
          </w:pPr>
          <w:hyperlink w:anchor="_Toc100047" w:history="1">
            <w:r>
              <w:rPr>
                <w:rStyle w:val="Hyperlink"/>
              </w:rPr>
              <w:t>Audit Scope Fields</w:t>
            </w:r>
            <w:r>
              <w:tab/>
            </w:r>
            <w:r>
              <w:fldChar w:fldCharType="begin"/>
            </w:r>
            <w:r>
              <w:instrText xml:space="preserve"> PAGEREF _Toc100047 \h </w:instrText>
            </w:r>
            <w:r>
              <w:fldChar w:fldCharType="separate"/>
            </w:r>
            <w:r>
              <w:t>15</w:t>
            </w:r>
            <w:r>
              <w:fldChar w:fldCharType="end"/>
            </w:r>
          </w:hyperlink>
        </w:p>
        <w:p>
          <w:pPr>
            <w:pStyle w:val="12"/>
            <w:ind w:left="720"/>
            <w:tabs>
              <w:tab w:val="right" w:leader="dot" w:pos="9026"/>
            </w:tabs>
            <w:spacing w:before="120" w:after="60"/>
          </w:pPr>
          <w:hyperlink w:anchor="_Toc100048" w:history="1">
            <w:r>
              <w:rPr>
                <w:rStyle w:val="Hyperlink"/>
              </w:rPr>
              <w:t>Lead Capture Form Fields</w:t>
            </w:r>
            <w:r>
              <w:tab/>
            </w:r>
            <w:r>
              <w:fldChar w:fldCharType="begin"/>
            </w:r>
            <w:r>
              <w:instrText xml:space="preserve"> PAGEREF _Toc100048 \h </w:instrText>
            </w:r>
            <w:r>
              <w:fldChar w:fldCharType="separate"/>
            </w:r>
            <w:r>
              <w:t>16</w:t>
            </w:r>
            <w:r>
              <w:fldChar w:fldCharType="end"/>
            </w:r>
          </w:hyperlink>
        </w:p>
        <w:p>
          <w:pPr>
            <w:pStyle w:val="12"/>
            <w:ind w:left="720"/>
            <w:tabs>
              <w:tab w:val="right" w:leader="dot" w:pos="9026"/>
            </w:tabs>
            <w:spacing w:before="120" w:after="60"/>
          </w:pPr>
          <w:hyperlink w:anchor="_Toc100049" w:history="1">
            <w:r>
              <w:rPr>
                <w:rStyle w:val="Hyperlink"/>
              </w:rPr>
              <w:t>Behavior</w:t>
            </w:r>
            <w:r>
              <w:tab/>
            </w:r>
            <w:r>
              <w:fldChar w:fldCharType="begin"/>
            </w:r>
            <w:r>
              <w:instrText xml:space="preserve"> PAGEREF _Toc100049 \h </w:instrText>
            </w:r>
            <w:r>
              <w:fldChar w:fldCharType="separate"/>
            </w:r>
            <w:r>
              <w:t>16</w:t>
            </w:r>
            <w:r>
              <w:fldChar w:fldCharType="end"/>
            </w:r>
          </w:hyperlink>
        </w:p>
        <w:p>
          <w:pPr>
            <w:pStyle w:val="12"/>
            <w:ind w:left="720"/>
            <w:tabs>
              <w:tab w:val="right" w:leader="dot" w:pos="9026"/>
            </w:tabs>
            <w:spacing w:before="120" w:after="60"/>
          </w:pPr>
          <w:hyperlink w:anchor="_Toc100050" w:history="1">
            <w:r>
              <w:rPr>
                <w:rStyle w:val="Hyperlink"/>
              </w:rPr>
              <w:t>Acceptance Criteria</w:t>
            </w:r>
            <w:r>
              <w:tab/>
            </w:r>
            <w:r>
              <w:fldChar w:fldCharType="begin"/>
            </w:r>
            <w:r>
              <w:instrText xml:space="preserve"> PAGEREF _Toc100050 \h </w:instrText>
            </w:r>
            <w:r>
              <w:fldChar w:fldCharType="separate"/>
            </w:r>
            <w:r>
              <w:t>16</w:t>
            </w:r>
            <w:r>
              <w:fldChar w:fldCharType="end"/>
            </w:r>
          </w:hyperlink>
        </w:p>
        <w:p>
          <w:pPr>
            <w:pStyle w:val="11"/>
            <w:ind w:left="360"/>
            <w:tabs>
              <w:tab w:val="right" w:leader="dot" w:pos="9026"/>
            </w:tabs>
            <w:spacing w:before="120" w:after="60"/>
          </w:pPr>
          <w:hyperlink w:anchor="_Toc100051" w:history="1">
            <w:r>
              <w:rPr>
                <w:rStyle w:val="Hyperlink"/>
              </w:rPr>
              <w:t>3.7 Section 07 — IDEX Meeting Calendar</w:t>
            </w:r>
            <w:r>
              <w:tab/>
            </w:r>
            <w:r>
              <w:fldChar w:fldCharType="begin"/>
            </w:r>
            <w:r>
              <w:instrText xml:space="preserve"> PAGEREF _Toc100051 \h </w:instrText>
            </w:r>
            <w:r>
              <w:fldChar w:fldCharType="separate"/>
            </w:r>
            <w:r>
              <w:t>17</w:t>
            </w:r>
            <w:r>
              <w:fldChar w:fldCharType="end"/>
            </w:r>
          </w:hyperlink>
        </w:p>
        <w:p>
          <w:pPr>
            <w:pStyle w:val="12"/>
            <w:ind w:left="720"/>
            <w:tabs>
              <w:tab w:val="right" w:leader="dot" w:pos="9026"/>
            </w:tabs>
            <w:spacing w:before="120" w:after="60"/>
          </w:pPr>
          <w:hyperlink w:anchor="_Toc100052" w:history="1">
            <w:r>
              <w:rPr>
                <w:rStyle w:val="Hyperlink"/>
              </w:rPr>
              <w:t>Purpose</w:t>
            </w:r>
            <w:r>
              <w:tab/>
            </w:r>
            <w:r>
              <w:fldChar w:fldCharType="begin"/>
            </w:r>
            <w:r>
              <w:instrText xml:space="preserve"> PAGEREF _Toc100052 \h </w:instrText>
            </w:r>
            <w:r>
              <w:fldChar w:fldCharType="separate"/>
            </w:r>
            <w:r>
              <w:t>17</w:t>
            </w:r>
            <w:r>
              <w:fldChar w:fldCharType="end"/>
            </w:r>
          </w:hyperlink>
        </w:p>
        <w:p>
          <w:pPr>
            <w:pStyle w:val="12"/>
            <w:ind w:left="720"/>
            <w:tabs>
              <w:tab w:val="right" w:leader="dot" w:pos="9026"/>
            </w:tabs>
            <w:spacing w:before="120" w:after="60"/>
          </w:pPr>
          <w:hyperlink w:anchor="_Toc100053" w:history="1">
            <w:r>
              <w:rPr>
                <w:rStyle w:val="Hyperlink"/>
              </w:rPr>
              <w:t>Wireframe</w:t>
            </w:r>
            <w:r>
              <w:tab/>
            </w:r>
            <w:r>
              <w:fldChar w:fldCharType="begin"/>
            </w:r>
            <w:r>
              <w:instrText xml:space="preserve"> PAGEREF _Toc100053 \h </w:instrText>
            </w:r>
            <w:r>
              <w:fldChar w:fldCharType="separate"/>
            </w:r>
            <w:r>
              <w:t>17</w:t>
            </w:r>
            <w:r>
              <w:fldChar w:fldCharType="end"/>
            </w:r>
          </w:hyperlink>
        </w:p>
        <w:p>
          <w:pPr>
            <w:pStyle w:val="12"/>
            <w:ind w:left="720"/>
            <w:tabs>
              <w:tab w:val="right" w:leader="dot" w:pos="9026"/>
            </w:tabs>
            <w:spacing w:before="120" w:after="60"/>
          </w:pPr>
          <w:hyperlink w:anchor="_Toc100054" w:history="1">
            <w:r>
              <w:rPr>
                <w:rStyle w:val="Hyperlink"/>
              </w:rPr>
              <w:t>Booking Flow</w:t>
            </w:r>
            <w:r>
              <w:tab/>
            </w:r>
            <w:r>
              <w:fldChar w:fldCharType="begin"/>
            </w:r>
            <w:r>
              <w:instrText xml:space="preserve"> PAGEREF _Toc100054 \h </w:instrText>
            </w:r>
            <w:r>
              <w:fldChar w:fldCharType="separate"/>
            </w:r>
            <w:r>
              <w:t>17</w:t>
            </w:r>
            <w:r>
              <w:fldChar w:fldCharType="end"/>
            </w:r>
          </w:hyperlink>
        </w:p>
        <w:p>
          <w:pPr>
            <w:pStyle w:val="12"/>
            <w:ind w:left="720"/>
            <w:tabs>
              <w:tab w:val="right" w:leader="dot" w:pos="9026"/>
            </w:tabs>
            <w:spacing w:before="120" w:after="60"/>
          </w:pPr>
          <w:hyperlink w:anchor="_Toc100055" w:history="1">
            <w:r>
              <w:rPr>
                <w:rStyle w:val="Hyperlink"/>
              </w:rPr>
              <w:t>Acceptance Criteria</w:t>
            </w:r>
            <w:r>
              <w:tab/>
            </w:r>
            <w:r>
              <w:fldChar w:fldCharType="begin"/>
            </w:r>
            <w:r>
              <w:instrText xml:space="preserve"> PAGEREF _Toc100055 \h </w:instrText>
            </w:r>
            <w:r>
              <w:fldChar w:fldCharType="separate"/>
            </w:r>
            <w:r>
              <w:t>18</w:t>
            </w:r>
            <w:r>
              <w:fldChar w:fldCharType="end"/>
            </w:r>
          </w:hyperlink>
        </w:p>
        <w:p>
          <w:pPr>
            <w:pStyle w:val="11"/>
            <w:ind w:left="360"/>
            <w:tabs>
              <w:tab w:val="right" w:leader="dot" w:pos="9026"/>
            </w:tabs>
            <w:spacing w:before="120" w:after="60"/>
          </w:pPr>
          <w:hyperlink w:anchor="_Toc100056" w:history="1">
            <w:r>
              <w:rPr>
                <w:rStyle w:val="Hyperlink"/>
              </w:rPr>
              <w:t>3.8 Section 08 — Lead Qualification Form</w:t>
            </w:r>
            <w:r>
              <w:tab/>
            </w:r>
            <w:r>
              <w:fldChar w:fldCharType="begin"/>
            </w:r>
            <w:r>
              <w:instrText xml:space="preserve"> PAGEREF _Toc100056 \h </w:instrText>
            </w:r>
            <w:r>
              <w:fldChar w:fldCharType="separate"/>
            </w:r>
            <w:r>
              <w:t>18</w:t>
            </w:r>
            <w:r>
              <w:fldChar w:fldCharType="end"/>
            </w:r>
          </w:hyperlink>
        </w:p>
        <w:p>
          <w:pPr>
            <w:pStyle w:val="12"/>
            <w:ind w:left="720"/>
            <w:tabs>
              <w:tab w:val="right" w:leader="dot" w:pos="9026"/>
            </w:tabs>
            <w:spacing w:before="120" w:after="60"/>
          </w:pPr>
          <w:hyperlink w:anchor="_Toc100057" w:history="1">
            <w:r>
              <w:rPr>
                <w:rStyle w:val="Hyperlink"/>
              </w:rPr>
              <w:t>Purpose</w:t>
            </w:r>
            <w:r>
              <w:tab/>
            </w:r>
            <w:r>
              <w:fldChar w:fldCharType="begin"/>
            </w:r>
            <w:r>
              <w:instrText xml:space="preserve"> PAGEREF _Toc100057 \h </w:instrText>
            </w:r>
            <w:r>
              <w:fldChar w:fldCharType="separate"/>
            </w:r>
            <w:r>
              <w:t>18</w:t>
            </w:r>
            <w:r>
              <w:fldChar w:fldCharType="end"/>
            </w:r>
          </w:hyperlink>
        </w:p>
        <w:p>
          <w:pPr>
            <w:pStyle w:val="12"/>
            <w:ind w:left="720"/>
            <w:tabs>
              <w:tab w:val="right" w:leader="dot" w:pos="9026"/>
            </w:tabs>
            <w:spacing w:before="120" w:after="60"/>
          </w:pPr>
          <w:hyperlink w:anchor="_Toc100058" w:history="1">
            <w:r>
              <w:rPr>
                <w:rStyle w:val="Hyperlink"/>
              </w:rPr>
              <w:t>Wireframe</w:t>
            </w:r>
            <w:r>
              <w:tab/>
            </w:r>
            <w:r>
              <w:fldChar w:fldCharType="begin"/>
            </w:r>
            <w:r>
              <w:instrText xml:space="preserve"> PAGEREF _Toc100058 \h </w:instrText>
            </w:r>
            <w:r>
              <w:fldChar w:fldCharType="separate"/>
            </w:r>
            <w:r>
              <w:t>19</w:t>
            </w:r>
            <w:r>
              <w:fldChar w:fldCharType="end"/>
            </w:r>
          </w:hyperlink>
        </w:p>
        <w:p>
          <w:pPr>
            <w:pStyle w:val="12"/>
            <w:ind w:left="720"/>
            <w:tabs>
              <w:tab w:val="right" w:leader="dot" w:pos="9026"/>
            </w:tabs>
            <w:spacing w:before="120" w:after="60"/>
          </w:pPr>
          <w:hyperlink w:anchor="_Toc100059" w:history="1">
            <w:r>
              <w:rPr>
                <w:rStyle w:val="Hyperlink"/>
              </w:rPr>
              <w:t>Form Fields</w:t>
            </w:r>
            <w:r>
              <w:tab/>
            </w:r>
            <w:r>
              <w:fldChar w:fldCharType="begin"/>
            </w:r>
            <w:r>
              <w:instrText xml:space="preserve"> PAGEREF _Toc100059 \h </w:instrText>
            </w:r>
            <w:r>
              <w:fldChar w:fldCharType="separate"/>
            </w:r>
            <w:r>
              <w:t>19</w:t>
            </w:r>
            <w:r>
              <w:fldChar w:fldCharType="end"/>
            </w:r>
          </w:hyperlink>
        </w:p>
        <w:p>
          <w:pPr>
            <w:pStyle w:val="12"/>
            <w:ind w:left="720"/>
            <w:tabs>
              <w:tab w:val="right" w:leader="dot" w:pos="9026"/>
            </w:tabs>
            <w:spacing w:before="120" w:after="60"/>
          </w:pPr>
          <w:hyperlink w:anchor="_Toc100060" w:history="1">
            <w:r>
              <w:rPr>
                <w:rStyle w:val="Hyperlink"/>
              </w:rPr>
              <w:t>Personal Information</w:t>
            </w:r>
            <w:r>
              <w:tab/>
            </w:r>
            <w:r>
              <w:fldChar w:fldCharType="begin"/>
            </w:r>
            <w:r>
              <w:instrText xml:space="preserve"> PAGEREF _Toc100060 \h </w:instrText>
            </w:r>
            <w:r>
              <w:fldChar w:fldCharType="separate"/>
            </w:r>
            <w:r>
              <w:t>19</w:t>
            </w:r>
            <w:r>
              <w:fldChar w:fldCharType="end"/>
            </w:r>
          </w:hyperlink>
        </w:p>
        <w:p>
          <w:pPr>
            <w:pStyle w:val="12"/>
            <w:ind w:left="720"/>
            <w:tabs>
              <w:tab w:val="right" w:leader="dot" w:pos="9026"/>
            </w:tabs>
            <w:spacing w:before="120" w:after="60"/>
          </w:pPr>
          <w:hyperlink w:anchor="_Toc100061" w:history="1">
            <w:r>
              <w:rPr>
                <w:rStyle w:val="Hyperlink"/>
              </w:rPr>
              <w:t>Company Information</w:t>
            </w:r>
            <w:r>
              <w:tab/>
            </w:r>
            <w:r>
              <w:fldChar w:fldCharType="begin"/>
            </w:r>
            <w:r>
              <w:instrText xml:space="preserve"> PAGEREF _Toc100061 \h </w:instrText>
            </w:r>
            <w:r>
              <w:fldChar w:fldCharType="separate"/>
            </w:r>
            <w:r>
              <w:t>19</w:t>
            </w:r>
            <w:r>
              <w:fldChar w:fldCharType="end"/>
            </w:r>
          </w:hyperlink>
        </w:p>
        <w:p>
          <w:pPr>
            <w:pStyle w:val="12"/>
            <w:ind w:left="720"/>
            <w:tabs>
              <w:tab w:val="right" w:leader="dot" w:pos="9026"/>
            </w:tabs>
            <w:spacing w:before="120" w:after="60"/>
          </w:pPr>
          <w:hyperlink w:anchor="_Toc100062" w:history="1">
            <w:r>
              <w:rPr>
                <w:rStyle w:val="Hyperlink"/>
              </w:rPr>
              <w:t>Requirements</w:t>
            </w:r>
            <w:r>
              <w:tab/>
            </w:r>
            <w:r>
              <w:fldChar w:fldCharType="begin"/>
            </w:r>
            <w:r>
              <w:instrText xml:space="preserve"> PAGEREF _Toc100062 \h </w:instrText>
            </w:r>
            <w:r>
              <w:fldChar w:fldCharType="separate"/>
            </w:r>
            <w:r>
              <w:t>19</w:t>
            </w:r>
            <w:r>
              <w:fldChar w:fldCharType="end"/>
            </w:r>
          </w:hyperlink>
        </w:p>
        <w:p>
          <w:pPr>
            <w:pStyle w:val="12"/>
            <w:ind w:left="720"/>
            <w:tabs>
              <w:tab w:val="right" w:leader="dot" w:pos="9026"/>
            </w:tabs>
            <w:spacing w:before="120" w:after="60"/>
          </w:pPr>
          <w:hyperlink w:anchor="_Toc100063" w:history="1">
            <w:r>
              <w:rPr>
                <w:rStyle w:val="Hyperlink"/>
              </w:rPr>
              <w:t>Behavior</w:t>
            </w:r>
            <w:r>
              <w:tab/>
            </w:r>
            <w:r>
              <w:fldChar w:fldCharType="begin"/>
            </w:r>
            <w:r>
              <w:instrText xml:space="preserve"> PAGEREF _Toc100063 \h </w:instrText>
            </w:r>
            <w:r>
              <w:fldChar w:fldCharType="separate"/>
            </w:r>
            <w:r>
              <w:t>19</w:t>
            </w:r>
            <w:r>
              <w:fldChar w:fldCharType="end"/>
            </w:r>
          </w:hyperlink>
        </w:p>
        <w:p>
          <w:pPr>
            <w:pStyle w:val="12"/>
            <w:ind w:left="720"/>
            <w:tabs>
              <w:tab w:val="right" w:leader="dot" w:pos="9026"/>
            </w:tabs>
            <w:spacing w:before="120" w:after="60"/>
          </w:pPr>
          <w:hyperlink w:anchor="_Toc100064" w:history="1">
            <w:r>
              <w:rPr>
                <w:rStyle w:val="Hyperlink"/>
              </w:rPr>
              <w:t>Acceptance Criteria</w:t>
            </w:r>
            <w:r>
              <w:tab/>
            </w:r>
            <w:r>
              <w:fldChar w:fldCharType="begin"/>
            </w:r>
            <w:r>
              <w:instrText xml:space="preserve"> PAGEREF _Toc100064 \h </w:instrText>
            </w:r>
            <w:r>
              <w:fldChar w:fldCharType="separate"/>
            </w:r>
            <w:r>
              <w:t>20</w:t>
            </w:r>
            <w:r>
              <w:fldChar w:fldCharType="end"/>
            </w:r>
          </w:hyperlink>
        </w:p>
        <w:p>
          <w:pPr>
            <w:pStyle w:val="9"/>
            <w:tabs>
              <w:tab w:val="right" w:leader="dot" w:pos="9026"/>
            </w:tabs>
            <w:spacing w:before="120" w:after="60"/>
          </w:pPr>
          <w:hyperlink w:anchor="_Toc100065" w:history="1">
            <w:r>
              <w:rPr>
                <w:rStyle w:val="Hyperlink"/>
              </w:rPr>
              <w:t>4. QR Code &amp; Flyier Integration</w:t>
            </w:r>
            <w:r>
              <w:tab/>
            </w:r>
            <w:r>
              <w:fldChar w:fldCharType="begin"/>
            </w:r>
            <w:r>
              <w:instrText xml:space="preserve"> PAGEREF _Toc100065 \h </w:instrText>
            </w:r>
            <w:r>
              <w:fldChar w:fldCharType="separate"/>
            </w:r>
            <w:r>
              <w:t>20</w:t>
            </w:r>
            <w:r>
              <w:fldChar w:fldCharType="end"/>
            </w:r>
          </w:hyperlink>
        </w:p>
        <w:p>
          <w:pPr>
            <w:pStyle w:val="11"/>
            <w:ind w:left="360"/>
            <w:tabs>
              <w:tab w:val="right" w:leader="dot" w:pos="9026"/>
            </w:tabs>
            <w:spacing w:before="120" w:after="60"/>
          </w:pPr>
          <w:hyperlink w:anchor="_Toc100066" w:history="1">
            <w:r>
              <w:rPr>
                <w:rStyle w:val="Hyperlink"/>
              </w:rPr>
              <w:t>4.1 QR Journey</w:t>
            </w:r>
            <w:r>
              <w:tab/>
            </w:r>
            <w:r>
              <w:fldChar w:fldCharType="begin"/>
            </w:r>
            <w:r>
              <w:instrText xml:space="preserve"> PAGEREF _Toc100066 \h </w:instrText>
            </w:r>
            <w:r>
              <w:fldChar w:fldCharType="separate"/>
            </w:r>
            <w:r>
              <w:t>20</w:t>
            </w:r>
            <w:r>
              <w:fldChar w:fldCharType="end"/>
            </w:r>
          </w:hyperlink>
        </w:p>
        <w:p>
          <w:pPr>
            <w:pStyle w:val="12"/>
            <w:ind w:left="720"/>
            <w:tabs>
              <w:tab w:val="right" w:leader="dot" w:pos="9026"/>
            </w:tabs>
            <w:spacing w:before="120" w:after="60"/>
          </w:pPr>
          <w:hyperlink w:anchor="_Toc100067" w:history="1">
            <w:r>
              <w:rPr>
                <w:rStyle w:val="Hyperlink"/>
              </w:rPr>
              <w:t>QR Destination URL</w:t>
            </w:r>
            <w:r>
              <w:tab/>
            </w:r>
            <w:r>
              <w:fldChar w:fldCharType="begin"/>
            </w:r>
            <w:r>
              <w:instrText xml:space="preserve"> PAGEREF _Toc100067 \h </w:instrText>
            </w:r>
            <w:r>
              <w:fldChar w:fldCharType="separate"/>
            </w:r>
            <w:r>
              <w:t>21</w:t>
            </w:r>
            <w:r>
              <w:fldChar w:fldCharType="end"/>
            </w:r>
          </w:hyperlink>
        </w:p>
        <w:p>
          <w:pPr>
            <w:pStyle w:val="11"/>
            <w:ind w:left="360"/>
            <w:tabs>
              <w:tab w:val="right" w:leader="dot" w:pos="9026"/>
            </w:tabs>
            <w:spacing w:before="120" w:after="60"/>
          </w:pPr>
          <w:hyperlink w:anchor="_Toc100068" w:history="1">
            <w:r>
              <w:rPr>
                <w:rStyle w:val="Hyperlink"/>
              </w:rPr>
              <w:t>4.2 Landing Behavior on QR Scan</w:t>
            </w:r>
            <w:r>
              <w:tab/>
            </w:r>
            <w:r>
              <w:fldChar w:fldCharType="begin"/>
            </w:r>
            <w:r>
              <w:instrText xml:space="preserve"> PAGEREF _Toc100068 \h </w:instrText>
            </w:r>
            <w:r>
              <w:fldChar w:fldCharType="separate"/>
            </w:r>
            <w:r>
              <w:t>21</w:t>
            </w:r>
            <w:r>
              <w:fldChar w:fldCharType="end"/>
            </w:r>
          </w:hyperlink>
        </w:p>
        <w:p>
          <w:pPr>
            <w:pStyle w:val="11"/>
            <w:ind w:left="360"/>
            <w:tabs>
              <w:tab w:val="right" w:leader="dot" w:pos="9026"/>
            </w:tabs>
            <w:spacing w:before="120" w:after="60"/>
          </w:pPr>
          <w:hyperlink w:anchor="_Toc100069" w:history="1">
            <w:r>
              <w:rPr>
                <w:rStyle w:val="Hyperlink"/>
              </w:rPr>
              <w:t>4.3 QR Generation</w:t>
            </w:r>
            <w:r>
              <w:tab/>
            </w:r>
            <w:r>
              <w:fldChar w:fldCharType="begin"/>
            </w:r>
            <w:r>
              <w:instrText xml:space="preserve"> PAGEREF _Toc100069 \h </w:instrText>
            </w:r>
            <w:r>
              <w:fldChar w:fldCharType="separate"/>
            </w:r>
            <w:r>
              <w:t>22</w:t>
            </w:r>
            <w:r>
              <w:fldChar w:fldCharType="end"/>
            </w:r>
          </w:hyperlink>
        </w:p>
        <w:p>
          <w:pPr>
            <w:pStyle w:val="9"/>
            <w:tabs>
              <w:tab w:val="right" w:leader="dot" w:pos="9026"/>
            </w:tabs>
            <w:spacing w:before="120" w:after="60"/>
          </w:pPr>
          <w:hyperlink w:anchor="_Toc100070" w:history="1">
            <w:r>
              <w:rPr>
                <w:rStyle w:val="Hyperlink"/>
              </w:rPr>
              <w:t>5. Lead Management Workflow</w:t>
            </w:r>
            <w:r>
              <w:tab/>
            </w:r>
            <w:r>
              <w:fldChar w:fldCharType="begin"/>
            </w:r>
            <w:r>
              <w:instrText xml:space="preserve"> PAGEREF _Toc100070 \h </w:instrText>
            </w:r>
            <w:r>
              <w:fldChar w:fldCharType="separate"/>
            </w:r>
            <w:r>
              <w:t>22</w:t>
            </w:r>
            <w:r>
              <w:fldChar w:fldCharType="end"/>
            </w:r>
          </w:hyperlink>
        </w:p>
        <w:p>
          <w:pPr>
            <w:pStyle w:val="11"/>
            <w:ind w:left="360"/>
            <w:tabs>
              <w:tab w:val="right" w:leader="dot" w:pos="9026"/>
            </w:tabs>
            <w:spacing w:before="120" w:after="60"/>
          </w:pPr>
          <w:hyperlink w:anchor="_Toc100071" w:history="1">
            <w:r>
              <w:rPr>
                <w:rStyle w:val="Hyperlink"/>
              </w:rPr>
              <w:t>5.1 Lead Sources</w:t>
            </w:r>
            <w:r>
              <w:tab/>
            </w:r>
            <w:r>
              <w:fldChar w:fldCharType="begin"/>
            </w:r>
            <w:r>
              <w:instrText xml:space="preserve"> PAGEREF _Toc100071 \h </w:instrText>
            </w:r>
            <w:r>
              <w:fldChar w:fldCharType="separate"/>
            </w:r>
            <w:r>
              <w:t>22</w:t>
            </w:r>
            <w:r>
              <w:fldChar w:fldCharType="end"/>
            </w:r>
          </w:hyperlink>
        </w:p>
        <w:p>
          <w:pPr>
            <w:pStyle w:val="11"/>
            <w:ind w:left="360"/>
            <w:tabs>
              <w:tab w:val="right" w:leader="dot" w:pos="9026"/>
            </w:tabs>
            <w:spacing w:before="120" w:after="60"/>
          </w:pPr>
          <w:hyperlink w:anchor="_Toc100072" w:history="1">
            <w:r>
              <w:rPr>
                <w:rStyle w:val="Hyperlink"/>
              </w:rPr>
              <w:t>5.2 Lead Record Schema</w:t>
            </w:r>
            <w:r>
              <w:tab/>
            </w:r>
            <w:r>
              <w:fldChar w:fldCharType="begin"/>
            </w:r>
            <w:r>
              <w:instrText xml:space="preserve"> PAGEREF _Toc100072 \h </w:instrText>
            </w:r>
            <w:r>
              <w:fldChar w:fldCharType="separate"/>
            </w:r>
            <w:r>
              <w:t>22</w:t>
            </w:r>
            <w:r>
              <w:fldChar w:fldCharType="end"/>
            </w:r>
          </w:hyperlink>
        </w:p>
        <w:p>
          <w:pPr>
            <w:pStyle w:val="11"/>
            <w:ind w:left="360"/>
            <w:tabs>
              <w:tab w:val="right" w:leader="dot" w:pos="9026"/>
            </w:tabs>
            <w:spacing w:before="120" w:after="60"/>
          </w:pPr>
          <w:hyperlink w:anchor="_Toc100073" w:history="1">
            <w:r>
              <w:rPr>
                <w:rStyle w:val="Hyperlink"/>
              </w:rPr>
              <w:t>5.3 Status Lifecycle</w:t>
            </w:r>
            <w:r>
              <w:tab/>
            </w:r>
            <w:r>
              <w:fldChar w:fldCharType="begin"/>
            </w:r>
            <w:r>
              <w:instrText xml:space="preserve"> PAGEREF _Toc100073 \h </w:instrText>
            </w:r>
            <w:r>
              <w:fldChar w:fldCharType="separate"/>
            </w:r>
            <w:r>
              <w:t>22</w:t>
            </w:r>
            <w:r>
              <w:fldChar w:fldCharType="end"/>
            </w:r>
          </w:hyperlink>
        </w:p>
        <w:p>
          <w:pPr>
            <w:pStyle w:val="11"/>
            <w:ind w:left="360"/>
            <w:tabs>
              <w:tab w:val="right" w:leader="dot" w:pos="9026"/>
            </w:tabs>
            <w:spacing w:before="120" w:after="60"/>
          </w:pPr>
          <w:hyperlink w:anchor="_Toc100074" w:history="1">
            <w:r>
              <w:rPr>
                <w:rStyle w:val="Hyperlink"/>
              </w:rPr>
              <w:t>5.4 Notifications &amp; Routing</w:t>
            </w:r>
            <w:r>
              <w:tab/>
            </w:r>
            <w:r>
              <w:fldChar w:fldCharType="begin"/>
            </w:r>
            <w:r>
              <w:instrText xml:space="preserve"> PAGEREF _Toc100074 \h </w:instrText>
            </w:r>
            <w:r>
              <w:fldChar w:fldCharType="separate"/>
            </w:r>
            <w:r>
              <w:t>23</w:t>
            </w:r>
            <w:r>
              <w:fldChar w:fldCharType="end"/>
            </w:r>
          </w:hyperlink>
        </w:p>
        <w:p>
          <w:pPr>
            <w:pStyle w:val="9"/>
            <w:tabs>
              <w:tab w:val="right" w:leader="dot" w:pos="9026"/>
            </w:tabs>
            <w:spacing w:before="120" w:after="60"/>
          </w:pPr>
          <w:hyperlink w:anchor="_Toc100075" w:history="1">
            <w:r>
              <w:rPr>
                <w:rStyle w:val="Hyperlink"/>
              </w:rPr>
              <w:t>6. Internal Calendar Integration</w:t>
            </w:r>
            <w:r>
              <w:tab/>
            </w:r>
            <w:r>
              <w:fldChar w:fldCharType="begin"/>
            </w:r>
            <w:r>
              <w:instrText xml:space="preserve"> PAGEREF _Toc100075 \h </w:instrText>
            </w:r>
            <w:r>
              <w:fldChar w:fldCharType="separate"/>
            </w:r>
            <w:r>
              <w:t>23</w:t>
            </w:r>
            <w:r>
              <w:fldChar w:fldCharType="end"/>
            </w:r>
          </w:hyperlink>
        </w:p>
        <w:p>
          <w:pPr>
            <w:pStyle w:val="11"/>
            <w:ind w:left="360"/>
            <w:tabs>
              <w:tab w:val="right" w:leader="dot" w:pos="9026"/>
            </w:tabs>
            <w:spacing w:before="120" w:after="60"/>
          </w:pPr>
          <w:hyperlink w:anchor="_Toc100076" w:history="1">
            <w:r>
              <w:rPr>
                <w:rStyle w:val="Hyperlink"/>
              </w:rPr>
              <w:t>6.1 Purpose</w:t>
            </w:r>
            <w:r>
              <w:tab/>
            </w:r>
            <w:r>
              <w:fldChar w:fldCharType="begin"/>
            </w:r>
            <w:r>
              <w:instrText xml:space="preserve"> PAGEREF _Toc100076 \h </w:instrText>
            </w:r>
            <w:r>
              <w:fldChar w:fldCharType="separate"/>
            </w:r>
            <w:r>
              <w:t>23</w:t>
            </w:r>
            <w:r>
              <w:fldChar w:fldCharType="end"/>
            </w:r>
          </w:hyperlink>
        </w:p>
        <w:p>
          <w:pPr>
            <w:pStyle w:val="11"/>
            <w:ind w:left="360"/>
            <w:tabs>
              <w:tab w:val="right" w:leader="dot" w:pos="9026"/>
            </w:tabs>
            <w:spacing w:before="120" w:after="60"/>
          </w:pPr>
          <w:hyperlink w:anchor="_Toc100077" w:history="1">
            <w:r>
              <w:rPr>
                <w:rStyle w:val="Hyperlink"/>
              </w:rPr>
              <w:t>6.2 Calendar Views</w:t>
            </w:r>
            <w:r>
              <w:tab/>
            </w:r>
            <w:r>
              <w:fldChar w:fldCharType="begin"/>
            </w:r>
            <w:r>
              <w:instrText xml:space="preserve"> PAGEREF _Toc100077 \h </w:instrText>
            </w:r>
            <w:r>
              <w:fldChar w:fldCharType="separate"/>
            </w:r>
            <w:r>
              <w:t>24</w:t>
            </w:r>
            <w:r>
              <w:fldChar w:fldCharType="end"/>
            </w:r>
          </w:hyperlink>
        </w:p>
        <w:p>
          <w:pPr>
            <w:pStyle w:val="11"/>
            <w:ind w:left="360"/>
            <w:tabs>
              <w:tab w:val="right" w:leader="dot" w:pos="9026"/>
            </w:tabs>
            <w:spacing w:before="120" w:after="60"/>
          </w:pPr>
          <w:hyperlink w:anchor="_Toc100078" w:history="1">
            <w:r>
              <w:rPr>
                <w:rStyle w:val="Hyperlink"/>
              </w:rPr>
              <w:t>6.3 Slot Management</w:t>
            </w:r>
            <w:r>
              <w:tab/>
            </w:r>
            <w:r>
              <w:fldChar w:fldCharType="begin"/>
            </w:r>
            <w:r>
              <w:instrText xml:space="preserve"> PAGEREF _Toc100078 \h </w:instrText>
            </w:r>
            <w:r>
              <w:fldChar w:fldCharType="separate"/>
            </w:r>
            <w:r>
              <w:t>24</w:t>
            </w:r>
            <w:r>
              <w:fldChar w:fldCharType="end"/>
            </w:r>
          </w:hyperlink>
        </w:p>
        <w:p>
          <w:pPr>
            <w:pStyle w:val="11"/>
            <w:ind w:left="360"/>
            <w:tabs>
              <w:tab w:val="right" w:leader="dot" w:pos="9026"/>
            </w:tabs>
            <w:spacing w:before="120" w:after="60"/>
          </w:pPr>
          <w:hyperlink w:anchor="_Toc100079" w:history="1">
            <w:r>
              <w:rPr>
                <w:rStyle w:val="Hyperlink"/>
              </w:rPr>
              <w:t>6.4 Booking Lifecycle</w:t>
            </w:r>
            <w:r>
              <w:tab/>
            </w:r>
            <w:r>
              <w:fldChar w:fldCharType="begin"/>
            </w:r>
            <w:r>
              <w:instrText xml:space="preserve"> PAGEREF _Toc100079 \h </w:instrText>
            </w:r>
            <w:r>
              <w:fldChar w:fldCharType="separate"/>
            </w:r>
            <w:r>
              <w:t>24</w:t>
            </w:r>
            <w:r>
              <w:fldChar w:fldCharType="end"/>
            </w:r>
          </w:hyperlink>
        </w:p>
        <w:p>
          <w:pPr>
            <w:pStyle w:val="11"/>
            <w:ind w:left="360"/>
            <w:tabs>
              <w:tab w:val="right" w:leader="dot" w:pos="9026"/>
            </w:tabs>
            <w:spacing w:before="120" w:after="60"/>
          </w:pPr>
          <w:hyperlink w:anchor="_Toc100080" w:history="1">
            <w:r>
              <w:rPr>
                <w:rStyle w:val="Hyperlink"/>
              </w:rPr>
              <w:t>6.5 Internal Calendar API</w:t>
            </w:r>
            <w:r>
              <w:tab/>
            </w:r>
            <w:r>
              <w:fldChar w:fldCharType="begin"/>
            </w:r>
            <w:r>
              <w:instrText xml:space="preserve"> PAGEREF _Toc100080 \h </w:instrText>
            </w:r>
            <w:r>
              <w:fldChar w:fldCharType="separate"/>
            </w:r>
            <w:r>
              <w:t>24</w:t>
            </w:r>
            <w:r>
              <w:fldChar w:fldCharType="end"/>
            </w:r>
          </w:hyperlink>
        </w:p>
        <w:p>
          <w:pPr>
            <w:pStyle w:val="11"/>
            <w:ind w:left="360"/>
            <w:tabs>
              <w:tab w:val="right" w:leader="dot" w:pos="9026"/>
            </w:tabs>
            <w:spacing w:before="120" w:after="60"/>
          </w:pPr>
          <w:hyperlink w:anchor="_Toc100081" w:history="1">
            <w:r>
              <w:rPr>
                <w:rStyle w:val="Hyperlink"/>
              </w:rPr>
              <w:t>6.6 Internal Calendar UI</w:t>
            </w:r>
            <w:r>
              <w:tab/>
            </w:r>
            <w:r>
              <w:fldChar w:fldCharType="begin"/>
            </w:r>
            <w:r>
              <w:instrText xml:space="preserve"> PAGEREF _Toc100081 \h </w:instrText>
            </w:r>
            <w:r>
              <w:fldChar w:fldCharType="separate"/>
            </w:r>
            <w:r>
              <w:t>24</w:t>
            </w:r>
            <w:r>
              <w:fldChar w:fldCharType="end"/>
            </w:r>
          </w:hyperlink>
        </w:p>
        <w:p>
          <w:pPr>
            <w:pStyle w:val="9"/>
            <w:tabs>
              <w:tab w:val="right" w:leader="dot" w:pos="9026"/>
            </w:tabs>
            <w:spacing w:before="120" w:after="60"/>
          </w:pPr>
          <w:hyperlink w:anchor="_Toc100082" w:history="1">
            <w:r>
              <w:rPr>
                <w:rStyle w:val="Hyperlink"/>
              </w:rPr>
              <w:t>7. Post-Event Follow-Up Workflow</w:t>
            </w:r>
            <w:r>
              <w:tab/>
            </w:r>
            <w:r>
              <w:fldChar w:fldCharType="begin"/>
            </w:r>
            <w:r>
              <w:instrText xml:space="preserve"> PAGEREF _Toc100082 \h </w:instrText>
            </w:r>
            <w:r>
              <w:fldChar w:fldCharType="separate"/>
            </w:r>
            <w:r>
              <w:t>25</w:t>
            </w:r>
            <w:r>
              <w:fldChar w:fldCharType="end"/>
            </w:r>
          </w:hyperlink>
        </w:p>
        <w:p>
          <w:pPr>
            <w:pStyle w:val="11"/>
            <w:ind w:left="360"/>
            <w:tabs>
              <w:tab w:val="right" w:leader="dot" w:pos="9026"/>
            </w:tabs>
            <w:spacing w:before="120" w:after="60"/>
          </w:pPr>
          <w:hyperlink w:anchor="_Toc100083" w:history="1">
            <w:r>
              <w:rPr>
                <w:rStyle w:val="Hyperlink"/>
              </w:rPr>
              <w:t>7.1 Follow-Up Sequence</w:t>
            </w:r>
            <w:r>
              <w:tab/>
            </w:r>
            <w:r>
              <w:fldChar w:fldCharType="begin"/>
            </w:r>
            <w:r>
              <w:instrText xml:space="preserve"> PAGEREF _Toc100083 \h </w:instrText>
            </w:r>
            <w:r>
              <w:fldChar w:fldCharType="separate"/>
            </w:r>
            <w:r>
              <w:t>25</w:t>
            </w:r>
            <w:r>
              <w:fldChar w:fldCharType="end"/>
            </w:r>
          </w:hyperlink>
        </w:p>
        <w:p>
          <w:pPr>
            <w:pStyle w:val="11"/>
            <w:ind w:left="360"/>
            <w:tabs>
              <w:tab w:val="right" w:leader="dot" w:pos="9026"/>
            </w:tabs>
            <w:spacing w:before="120" w:after="60"/>
          </w:pPr>
          <w:hyperlink w:anchor="_Toc100084" w:history="1">
            <w:r>
              <w:rPr>
                <w:rStyle w:val="Hyperlink"/>
              </w:rPr>
              <w:t>7.2 Proposal &amp; Closing</w:t>
            </w:r>
            <w:r>
              <w:tab/>
            </w:r>
            <w:r>
              <w:fldChar w:fldCharType="begin"/>
            </w:r>
            <w:r>
              <w:instrText xml:space="preserve"> PAGEREF _Toc100084 \h </w:instrText>
            </w:r>
            <w:r>
              <w:fldChar w:fldCharType="separate"/>
            </w:r>
            <w:r>
              <w:t>25</w:t>
            </w:r>
            <w:r>
              <w:fldChar w:fldCharType="end"/>
            </w:r>
          </w:hyperlink>
        </w:p>
        <w:p>
          <w:pPr>
            <w:pStyle w:val="11"/>
            <w:ind w:left="360"/>
            <w:tabs>
              <w:tab w:val="right" w:leader="dot" w:pos="9026"/>
            </w:tabs>
            <w:spacing w:before="120" w:after="60"/>
          </w:pPr>
          <w:hyperlink w:anchor="_Toc100085" w:history="1">
            <w:r>
              <w:rPr>
                <w:rStyle w:val="Hyperlink"/>
              </w:rPr>
              <w:t>7.3 Long-Term Nurture</w:t>
            </w:r>
            <w:r>
              <w:tab/>
            </w:r>
            <w:r>
              <w:fldChar w:fldCharType="begin"/>
            </w:r>
            <w:r>
              <w:instrText xml:space="preserve"> PAGEREF _Toc100085 \h </w:instrText>
            </w:r>
            <w:r>
              <w:fldChar w:fldCharType="separate"/>
            </w:r>
            <w:r>
              <w:t>25</w:t>
            </w:r>
            <w:r>
              <w:fldChar w:fldCharType="end"/>
            </w:r>
          </w:hyperlink>
        </w:p>
        <w:p>
          <w:pPr>
            <w:pStyle w:val="9"/>
            <w:tabs>
              <w:tab w:val="right" w:leader="dot" w:pos="9026"/>
            </w:tabs>
            <w:spacing w:before="120" w:after="60"/>
          </w:pPr>
          <w:hyperlink w:anchor="_Toc100086" w:history="1">
            <w:r>
              <w:rPr>
                <w:rStyle w:val="Hyperlink"/>
              </w:rPr>
              <w:t>8. Master Acceptance Criteria</w:t>
            </w:r>
            <w:r>
              <w:tab/>
            </w:r>
            <w:r>
              <w:fldChar w:fldCharType="begin"/>
            </w:r>
            <w:r>
              <w:instrText xml:space="preserve"> PAGEREF _Toc100086 \h </w:instrText>
            </w:r>
            <w:r>
              <w:fldChar w:fldCharType="separate"/>
            </w:r>
            <w:r>
              <w:t>26</w:t>
            </w:r>
            <w:r>
              <w:fldChar w:fldCharType="end"/>
            </w:r>
          </w:hyperlink>
        </w:p>
        <w:p>
          <w:pPr>
            <w:pStyle w:val="11"/>
            <w:ind w:left="360"/>
            <w:tabs>
              <w:tab w:val="right" w:leader="dot" w:pos="9026"/>
            </w:tabs>
            <w:spacing w:before="120" w:after="60"/>
          </w:pPr>
          <w:hyperlink w:anchor="_Toc100087" w:history="1">
            <w:r>
              <w:rPr>
                <w:rStyle w:val="Hyperlink"/>
              </w:rPr>
              <w:t>8.1 Performance</w:t>
            </w:r>
            <w:r>
              <w:tab/>
            </w:r>
            <w:r>
              <w:fldChar w:fldCharType="begin"/>
            </w:r>
            <w:r>
              <w:instrText xml:space="preserve"> PAGEREF _Toc100087 \h </w:instrText>
            </w:r>
            <w:r>
              <w:fldChar w:fldCharType="separate"/>
            </w:r>
            <w:r>
              <w:t>26</w:t>
            </w:r>
            <w:r>
              <w:fldChar w:fldCharType="end"/>
            </w:r>
          </w:hyperlink>
        </w:p>
        <w:p>
          <w:pPr>
            <w:pStyle w:val="11"/>
            <w:ind w:left="360"/>
            <w:tabs>
              <w:tab w:val="right" w:leader="dot" w:pos="9026"/>
            </w:tabs>
            <w:spacing w:before="120" w:after="60"/>
          </w:pPr>
          <w:hyperlink w:anchor="_Toc100088" w:history="1">
            <w:r>
              <w:rPr>
                <w:rStyle w:val="Hyperlink"/>
              </w:rPr>
              <w:t>8.2 Accessibility</w:t>
            </w:r>
            <w:r>
              <w:tab/>
            </w:r>
            <w:r>
              <w:fldChar w:fldCharType="begin"/>
            </w:r>
            <w:r>
              <w:instrText xml:space="preserve"> PAGEREF _Toc100088 \h </w:instrText>
            </w:r>
            <w:r>
              <w:fldChar w:fldCharType="separate"/>
            </w:r>
            <w:r>
              <w:t>26</w:t>
            </w:r>
            <w:r>
              <w:fldChar w:fldCharType="end"/>
            </w:r>
          </w:hyperlink>
        </w:p>
        <w:p>
          <w:pPr>
            <w:pStyle w:val="11"/>
            <w:ind w:left="360"/>
            <w:tabs>
              <w:tab w:val="right" w:leader="dot" w:pos="9026"/>
            </w:tabs>
            <w:spacing w:before="120" w:after="60"/>
          </w:pPr>
          <w:hyperlink w:anchor="_Toc100089" w:history="1">
            <w:r>
              <w:rPr>
                <w:rStyle w:val="Hyperlink"/>
              </w:rPr>
              <w:t>8.3 Cross-Browser &amp; Cross-Device</w:t>
            </w:r>
            <w:r>
              <w:tab/>
            </w:r>
            <w:r>
              <w:fldChar w:fldCharType="begin"/>
            </w:r>
            <w:r>
              <w:instrText xml:space="preserve"> PAGEREF _Toc100089 \h </w:instrText>
            </w:r>
            <w:r>
              <w:fldChar w:fldCharType="separate"/>
            </w:r>
            <w:r>
              <w:t>27</w:t>
            </w:r>
            <w:r>
              <w:fldChar w:fldCharType="end"/>
            </w:r>
          </w:hyperlink>
        </w:p>
        <w:p>
          <w:pPr>
            <w:pStyle w:val="11"/>
            <w:ind w:left="360"/>
            <w:tabs>
              <w:tab w:val="right" w:leader="dot" w:pos="9026"/>
            </w:tabs>
            <w:spacing w:before="120" w:after="60"/>
          </w:pPr>
          <w:hyperlink w:anchor="_Toc100090" w:history="1">
            <w:r>
              <w:rPr>
                <w:rStyle w:val="Hyperlink"/>
              </w:rPr>
              <w:t>8.4 Analytics &amp; Tracking</w:t>
            </w:r>
            <w:r>
              <w:tab/>
            </w:r>
            <w:r>
              <w:fldChar w:fldCharType="begin"/>
            </w:r>
            <w:r>
              <w:instrText xml:space="preserve"> PAGEREF _Toc100090 \h </w:instrText>
            </w:r>
            <w:r>
              <w:fldChar w:fldCharType="separate"/>
            </w:r>
            <w:r>
              <w:t>28</w:t>
            </w:r>
            <w:r>
              <w:fldChar w:fldCharType="end"/>
            </w:r>
          </w:hyperlink>
        </w:p>
        <w:p>
          <w:pPr>
            <w:pStyle w:val="11"/>
            <w:ind w:left="360"/>
            <w:tabs>
              <w:tab w:val="right" w:leader="dot" w:pos="9026"/>
            </w:tabs>
            <w:spacing w:before="120" w:after="60"/>
          </w:pPr>
          <w:hyperlink w:anchor="_Toc100091" w:history="1">
            <w:r>
              <w:rPr>
                <w:rStyle w:val="Hyperlink"/>
              </w:rPr>
              <w:t>8.5 Integrations</w:t>
            </w:r>
            <w:r>
              <w:tab/>
            </w:r>
            <w:r>
              <w:fldChar w:fldCharType="begin"/>
            </w:r>
            <w:r>
              <w:instrText xml:space="preserve"> PAGEREF _Toc100091 \h </w:instrText>
            </w:r>
            <w:r>
              <w:fldChar w:fldCharType="separate"/>
            </w:r>
            <w:r>
              <w:t>28</w:t>
            </w:r>
            <w:r>
              <w:fldChar w:fldCharType="end"/>
            </w:r>
          </w:hyperlink>
        </w:p>
        <w:p>
          <w:pPr>
            <w:pStyle w:val="11"/>
            <w:ind w:left="360"/>
            <w:tabs>
              <w:tab w:val="right" w:leader="dot" w:pos="9026"/>
            </w:tabs>
            <w:spacing w:before="120" w:after="60"/>
          </w:pPr>
          <w:hyperlink w:anchor="_Toc100092" w:history="1">
            <w:r>
              <w:rPr>
                <w:rStyle w:val="Hyperlink"/>
              </w:rPr>
              <w:t>8.6 Content &amp; Placeholders</w:t>
            </w:r>
            <w:r>
              <w:tab/>
            </w:r>
            <w:r>
              <w:fldChar w:fldCharType="begin"/>
            </w:r>
            <w:r>
              <w:instrText xml:space="preserve"> PAGEREF _Toc100092 \h </w:instrText>
            </w:r>
            <w:r>
              <w:fldChar w:fldCharType="separate"/>
            </w:r>
            <w:r>
              <w:t>29</w:t>
            </w:r>
            <w:r>
              <w:fldChar w:fldCharType="end"/>
            </w:r>
          </w:hyperlink>
        </w:p>
        <w:p>
          <w:r>
            <w:fldChar w:fldCharType="end"/>
          </w:r>
        </w:p>
      </w:sdtContent>
    </w:sdt>
    <w:p>
      <w:pPr>
        <w:spacing w:after="0" w:before="200"/>
      </w:pPr>
      <w:r>
        <w:rPr>
          <w:rFonts w:ascii="Calibri" w:eastAsia="Microsoft YaHei"/>
          <w:i/>
          <w:iCs/>
          <w:color w:val="808080"/>
          <w:sz w:val="18"/>
          <w:szCs w:val="18"/>
        </w:rPr>
        <w:t xml:space="preserve">Right-click the table of contents and select "Update Field" to refresh page numbers.</w:t>
      </w:r>
      <w:r>
        <w:br w:type="page"/>
      </w:r>
    </w:p>
    <w:p>
      <w:pPr>
        <w:sectPr>
          <w:headerReference w:type="default" r:id="rId7"/>
          <w:footerReference w:type="default" r:id="rId8"/>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Calibri" w:eastAsia="SimHei"/>
          <w:b/>
          <w:bCs/>
          <w:color w:val="0B1220"/>
          <w:sz w:val="32"/>
          <w:szCs w:val="32"/>
        </w:rPr>
        <w:t xml:space="preserve">1. Document Overview</w:t>
      </w:r>
      <w:bookmarkEnd w:id="100000"/>
    </w:p>
    <w:p>
      <w:pPr>
        <w:pStyle w:val="Heading2"/>
        <w:spacing w:after="120" w:before="280" w:line="312"/>
      </w:pPr>
      <w:bookmarkStart w:id="100001" w:name="_Toc100001"/>
      <w:r>
        <w:rPr>
          <w:rFonts w:ascii="Calibri" w:eastAsia="SimHei"/>
          <w:b/>
          <w:bCs/>
          <w:color w:val="0B1220"/>
          <w:sz w:val="28"/>
          <w:szCs w:val="28"/>
        </w:rPr>
        <w:t xml:space="preserve">1.1 Purpose</w:t>
      </w:r>
      <w:bookmarkEnd w:id="100001"/>
    </w:p>
    <w:p>
      <w:pPr>
        <w:spacing w:after="100" w:line="312"/>
        <w:ind w:firstLine="0"/>
        <w:jc w:val="both"/>
      </w:pPr>
      <w:r>
        <w:rPr>
          <w:rFonts w:ascii="Calibri" w:eastAsia="Microsoft YaHei"/>
          <w:color w:val="1A2330"/>
          <w:sz w:val="22"/>
          <w:szCs w:val="22"/>
        </w:rPr>
        <w:t xml:space="preserve">This document is the developer build specification for the ICEBERG × IDEX landing page and its surrounding conversion ecosystem. It translates the IDEX Event Plan into concrete build artifacts: page sections, wireframes, copy, form fields, CTAs, calendar integration, CRM hooks, and acceptance criteria. The intended primary audience is the engineering team responsible for building and integrating the page; the secondary audience is the ICEBERG content and design team who will finalize copy and visual assets.</w:t>
      </w:r>
    </w:p>
    <w:p>
      <w:pPr>
        <w:spacing w:after="100" w:line="312"/>
        <w:ind w:firstLine="0"/>
        <w:jc w:val="both"/>
      </w:pPr>
      <w:r>
        <w:rPr>
          <w:rFonts w:ascii="Calibri" w:eastAsia="Microsoft YaHei"/>
          <w:color w:val="1A2330"/>
          <w:sz w:val="22"/>
          <w:szCs w:val="22"/>
        </w:rPr>
        <w:t xml:space="preserve">Every section below maps to one or more requirements from the master IDEX Event Plan. Where pricing, copy, or specific assets remain undecided, this document uses standardized placeholders enclosed in full-width brackets so they can be located and replaced via Find &amp; Replace. No fabricated metrics, no fabricated client testimonials, and no unconfirmed pricing figures appear in this spec.</w:t>
      </w:r>
    </w:p>
    <w:p>
      <w:pPr>
        <w:pStyle w:val="Heading2"/>
        <w:spacing w:after="120" w:before="280" w:line="312"/>
      </w:pPr>
      <w:bookmarkStart w:id="100002" w:name="_Toc100002"/>
      <w:r>
        <w:rPr>
          <w:rFonts w:ascii="Calibri" w:eastAsia="SimHei"/>
          <w:b/>
          <w:bCs/>
          <w:color w:val="0B1220"/>
          <w:sz w:val="28"/>
          <w:szCs w:val="28"/>
        </w:rPr>
        <w:t xml:space="preserve">1.2 Scope — Full Conversion Ecosystem</w:t>
      </w:r>
      <w:bookmarkEnd w:id="100002"/>
    </w:p>
    <w:p>
      <w:pPr>
        <w:spacing w:after="100" w:line="312"/>
        <w:ind w:firstLine="0"/>
        <w:jc w:val="both"/>
      </w:pPr>
      <w:r>
        <w:rPr>
          <w:rFonts w:ascii="Calibri" w:eastAsia="Microsoft YaHei"/>
          <w:color w:val="1A2330"/>
          <w:sz w:val="22"/>
          <w:szCs w:val="22"/>
        </w:rPr>
        <w:t xml:space="preserve">The spec covers the landing page itself plus the upstream and downstream components that make it a conversion hub rather than a static page. In scope: (a) the seven on-page sections from Hero through Lead Qualification Form; (b) the QR-code journey that routes physical-flyer scans to the landing page; (c) the internal calendar integration that turns meeting bookings into managed slots; (d) the lead-management workflow that syncs form submissions and meeting bookings into the CRM; (e) post-event follow-up automation hooks. Out of scope: the broader IDEX teaser social campaign, the printed flyer artwork, and the 3-month service package delivery — these are covered in companion documents.</w:t>
      </w:r>
    </w:p>
    <w:p>
      <w:pPr>
        <w:pStyle w:val="Heading2"/>
        <w:spacing w:after="120" w:before="280" w:line="312"/>
      </w:pPr>
      <w:bookmarkStart w:id="100003" w:name="_Toc100003"/>
      <w:r>
        <w:rPr>
          <w:rFonts w:ascii="Calibri" w:eastAsia="SimHei"/>
          <w:b/>
          <w:bCs/>
          <w:color w:val="0B1220"/>
          <w:sz w:val="28"/>
          <w:szCs w:val="28"/>
        </w:rPr>
        <w:t xml:space="preserve">1.3 Conversion Strategy Recap</w:t>
      </w:r>
      <w:bookmarkEnd w:id="100003"/>
    </w:p>
    <w:p>
      <w:pPr>
        <w:spacing w:after="100" w:line="312"/>
        <w:ind w:firstLine="0"/>
        <w:jc w:val="both"/>
      </w:pPr>
      <w:r>
        <w:rPr>
          <w:rFonts w:ascii="Calibri" w:eastAsia="Microsoft YaHei"/>
          <w:color w:val="1A2330"/>
          <w:sz w:val="22"/>
          <w:szCs w:val="22"/>
        </w:rPr>
        <w:t xml:space="preserve">IDEX is treated as a business-development opportunity, not an event-participation campaign. The landing page is the single conversion hub where every upstream traffic source (QR scans, social teasers, outreach emails, audit requests) lands. Every section on the page exists to advance the visitor along one of three conversion paths: book a consultation, request a free digital audit, or submit the lead qualification form. There are no decorative sections — every block must have a measurable purpose tied to one of these three outcomes.</w:t>
      </w:r>
    </w:p>
    <w:p>
      <w:pPr>
        <w:pBdr>
          <w:left w:val="single" w:color="D4875A" w:sz="18" w:space="8"/>
        </w:pBdr>
        <w:shd w:fill="F8F0EB" w:val="clear"/>
        <w:spacing w:after="160" w:before="120" w:line="312"/>
        <w:ind w:left="200" w:right="100"/>
      </w:pPr>
      <w:r>
        <w:rPr>
          <w:rFonts w:ascii="Calibri" w:eastAsia="Microsoft YaHei"/>
          <w:i/>
          <w:iCs/>
          <w:color w:val="1A2330"/>
          <w:sz w:val="22"/>
          <w:szCs w:val="22"/>
        </w:rPr>
        <w:t xml:space="preserve">Strategic directive: "Don't just exhibit. Build the business behind the exhibition." Every page section must answer the question — what action does this drive?</w:t>
      </w:r>
    </w:p>
    <w:p>
      <w:pPr>
        <w:pStyle w:val="Heading3"/>
        <w:spacing w:after="100" w:before="220" w:line="312"/>
      </w:pPr>
      <w:bookmarkStart w:id="100004" w:name="_Toc100004"/>
      <w:r>
        <w:rPr>
          <w:rFonts w:ascii="Calibri" w:eastAsia="SimHei"/>
          <w:b/>
          <w:bCs/>
          <w:color w:val="0B1220"/>
          <w:sz w:val="24"/>
          <w:szCs w:val="24"/>
        </w:rPr>
        <w:t xml:space="preserve">1.4 End-to-End Conversion Flow</w:t>
      </w:r>
      <w:bookmarkEnd w:id="100004"/>
    </w:p>
    <w:p>
      <w:pPr>
        <w:spacing w:after="100" w:line="312"/>
        <w:ind w:firstLine="0"/>
        <w:jc w:val="both"/>
      </w:pPr>
      <w:r>
        <w:rPr>
          <w:rFonts w:ascii="Calibri" w:eastAsia="Microsoft YaHei"/>
          <w:color w:val="1A2330"/>
          <w:sz w:val="22"/>
          <w:szCs w:val="22"/>
        </w:rPr>
        <w:t xml:space="preserve">The diagram below shows how a visitor moves from initial contact (QR scan or social click) through the landing page into the CRM and post-event follow-up. Every box is a state; every arrow is a handoff that must be instrumented.</w:t>
      </w:r>
    </w:p>
    <w:tbl>
      <w:tblPr>
        <w:tblW w:type="pct" w:w="100%"/>
        <w:tblBorders>
          <w:top w:val="single" w:color="D4875A" w:sz="2"/>
          <w:left w:val="none"/>
          <w:bottom w:val="single" w:color="D4875A" w:sz="2"/>
          <w:right w:val="none"/>
          <w:insideH w:val="single" w:color="DDD0C8" w:sz="1"/>
          <w:insideV w:val="none"/>
        </w:tblBorders>
        <w:tblLayout w:type="fixed"/>
      </w:tblPr>
      <w:tblGrid>
        <w:gridCol w:w="100"/>
      </w:tblGrid>
      <w:tr>
        <w:trPr>
          <w:cantSplit/>
          <w:tblHeader/>
        </w:trPr>
        <w:tc>
          <w:tcPr>
            <w:tcW w:type="pct" w:w="100%"/>
            <w:shd w:fill="D4875A" w:val="clear"/>
            <w:tcMar>
              <w:top w:type="dxa" w:w="60"/>
              <w:left w:type="dxa" w:w="120"/>
              <w:bottom w:type="dxa" w:w="60"/>
              <w:right w:type="dxa" w:w="120"/>
            </w:tcMar>
          </w:tcPr>
          <w:p>
            <w:r>
              <w:rPr>
                <w:rFonts w:ascii="Calibri" w:eastAsia="SimHei"/>
                <w:b/>
                <w:bCs/>
                <w:color w:val="FFFFFF"/>
                <w:sz w:val="18"/>
                <w:szCs w:val="18"/>
              </w:rPr>
              <w:t xml:space="preserve">Figure 1 — End-to-End Conversion Flow</w:t>
            </w:r>
          </w:p>
        </w:tc>
      </w:tr>
      <w:tr>
        <w:trPr>
          <w:cantSplit/>
        </w:trPr>
        <w:tc>
          <w:tcPr>
            <w:tcW w:type="pct" w:w="100%"/>
            <w:shd w:fill="FBFBFB" w:val="clear"/>
            <w:tcMar>
              <w:top w:type="dxa" w:w="100"/>
              <w:left w:type="dxa" w:w="140"/>
              <w:bottom w:type="dxa" w:w="100"/>
              <w:right w:type="dxa" w:w="140"/>
            </w:tcMar>
          </w:tcPr>
          <w:p>
            <w:pPr>
              <w:spacing w:after="0" w:line="240"/>
            </w:pPr>
            <w:r>
              <w:rPr>
                <w:rFonts w:ascii="Courier New" w:eastAsia="Courier New"/>
                <w:color w:val="1A2330"/>
                <w:sz w:val="16"/>
                <w:szCs w:val="16"/>
              </w:rPr>
              <w:t xml:space="preserve">┌──────────────┐    ┌──────────────┐    ┌──────────────────┐</w:t>
            </w:r>
          </w:p>
          <w:p>
            <w:pPr>
              <w:spacing w:after="0" w:line="240"/>
            </w:pPr>
            <w:r>
              <w:rPr>
                <w:rFonts w:ascii="Courier New" w:eastAsia="Courier New"/>
                <w:color w:val="1A2330"/>
                <w:sz w:val="16"/>
                <w:szCs w:val="16"/>
              </w:rPr>
              <w:t xml:space="preserve">│  QR Flyer    │───▶│  Landing     │───▶│  Section CTA      │</w:t>
            </w:r>
          </w:p>
          <w:p>
            <w:pPr>
              <w:spacing w:after="0" w:line="240"/>
            </w:pPr>
            <w:r>
              <w:rPr>
                <w:rFonts w:ascii="Courier New" w:eastAsia="Courier New"/>
                <w:color w:val="1A2330"/>
                <w:sz w:val="16"/>
                <w:szCs w:val="16"/>
              </w:rPr>
              <w:t xml:space="preserve">│  Social Post │    │  Page (Hero) │    │  (Consult / Audit)│</w:t>
            </w:r>
          </w:p>
          <w:p>
            <w:pPr>
              <w:spacing w:after="0" w:line="240"/>
            </w:pPr>
            <w:r>
              <w:rPr>
                <w:rFonts w:ascii="Courier New" w:eastAsia="Courier New"/>
                <w:color w:val="1A2330"/>
                <w:sz w:val="16"/>
                <w:szCs w:val="16"/>
              </w:rPr>
              <w:t xml:space="preserve">│  Outreach    │    └──────────────┘    └────────┬─────────┘</w:t>
            </w:r>
          </w:p>
          <w:p>
            <w:pPr>
              <w:spacing w:after="0" w:line="240"/>
            </w:pPr>
            <w:r>
              <w:rPr>
                <w:rFonts w:ascii="Courier New" w:eastAsia="Courier New"/>
                <w:color w:val="1A2330"/>
                <w:sz w:val="16"/>
                <w:szCs w:val="16"/>
              </w:rPr>
              <w:t xml:space="preserve">└──────────────┘                              │</w:t>
            </w:r>
          </w:p>
          <w:p>
            <w:pPr>
              <w:spacing w:after="0" w:line="240"/>
            </w:pPr>
            <w:r>
              <w:rPr>
                <w:rFonts w:ascii="Courier New" w:eastAsia="Courier New"/>
                <w:color w:val="1A2330"/>
                <w:sz w:val="16"/>
                <w:szCs w:val="16"/>
              </w:rPr>
              <w:t xml:space="preserve">                                               ▼</w:t>
            </w:r>
          </w:p>
          <w:p>
            <w:pPr>
              <w:spacing w:after="0" w:line="240"/>
            </w:pPr>
            <w:r>
              <w:rPr>
                <w:rFonts w:ascii="Courier New" w:eastAsia="Courier New"/>
                <w:color w:val="1A2330"/>
                <w:sz w:val="16"/>
                <w:szCs w:val="16"/>
              </w:rPr>
              <w:t xml:space="preserve">        ┌────────────────────┐    ┌──────────────────────┐</w:t>
            </w:r>
          </w:p>
          <w:p>
            <w:pPr>
              <w:spacing w:after="0" w:line="240"/>
            </w:pPr>
            <w:r>
              <w:rPr>
                <w:rFonts w:ascii="Courier New" w:eastAsia="Courier New"/>
                <w:color w:val="1A2330"/>
                <w:sz w:val="16"/>
                <w:szCs w:val="16"/>
              </w:rPr>
              <w:t xml:space="preserve">        │  Lead Form / Audit │───▶│  CRM Lead Record     │</w:t>
            </w:r>
          </w:p>
          <w:p>
            <w:pPr>
              <w:spacing w:after="0" w:line="240"/>
            </w:pPr>
            <w:r>
              <w:rPr>
                <w:rFonts w:ascii="Courier New" w:eastAsia="Courier New"/>
                <w:color w:val="1A2330"/>
                <w:sz w:val="16"/>
                <w:szCs w:val="16"/>
              </w:rPr>
              <w:t xml:space="preserve">        │  Form Submission    │    │  (status: NEW)        │</w:t>
            </w:r>
          </w:p>
          <w:p>
            <w:pPr>
              <w:spacing w:after="0" w:line="240"/>
            </w:pPr>
            <w:r>
              <w:rPr>
                <w:rFonts w:ascii="Courier New" w:eastAsia="Courier New"/>
                <w:color w:val="1A2330"/>
                <w:sz w:val="16"/>
                <w:szCs w:val="16"/>
              </w:rPr>
              <w:t xml:space="preserve">        └────────────────────┘    └────────┬─────────────┘</w:t>
            </w:r>
          </w:p>
          <w:p>
            <w:pPr>
              <w:spacing w:after="0" w:line="240"/>
            </w:pPr>
            <w:r>
              <w:rPr>
                <w:rFonts w:ascii="Courier New" w:eastAsia="Courier New"/>
                <w:color w:val="1A2330"/>
                <w:sz w:val="16"/>
                <w:szCs w:val="16"/>
              </w:rPr>
              <w:t xml:space="preserve">                                           │</w:t>
            </w:r>
          </w:p>
          <w:p>
            <w:pPr>
              <w:spacing w:after="0" w:line="240"/>
            </w:pPr>
            <w:r>
              <w:rPr>
                <w:rFonts w:ascii="Courier New" w:eastAsia="Courier New"/>
                <w:color w:val="1A2330"/>
                <w:sz w:val="16"/>
                <w:szCs w:val="16"/>
              </w:rPr>
              <w:t xml:space="preserve">                                           ▼</w:t>
            </w:r>
          </w:p>
          <w:p>
            <w:pPr>
              <w:spacing w:after="0" w:line="240"/>
            </w:pPr>
            <w:r>
              <w:rPr>
                <w:rFonts w:ascii="Courier New" w:eastAsia="Courier New"/>
                <w:color w:val="1A2330"/>
                <w:sz w:val="16"/>
                <w:szCs w:val="16"/>
              </w:rPr>
              <w:t xml:space="preserve">        ┌────────────────────┐    ┌──────────────────────┐</w:t>
            </w:r>
          </w:p>
          <w:p>
            <w:pPr>
              <w:spacing w:after="0" w:line="240"/>
            </w:pPr>
            <w:r>
              <w:rPr>
                <w:rFonts w:ascii="Courier New" w:eastAsia="Courier New"/>
                <w:color w:val="1A2330"/>
                <w:sz w:val="16"/>
                <w:szCs w:val="16"/>
              </w:rPr>
              <w:t xml:space="preserve">        │  Calendar Booking   │───▶│  Meeting Confirmed   │</w:t>
            </w:r>
          </w:p>
          <w:p>
            <w:pPr>
              <w:spacing w:after="0" w:line="240"/>
            </w:pPr>
            <w:r>
              <w:rPr>
                <w:rFonts w:ascii="Courier New" w:eastAsia="Courier New"/>
                <w:color w:val="1A2330"/>
                <w:sz w:val="16"/>
                <w:szCs w:val="16"/>
              </w:rPr>
              <w:t xml:space="preserve">        │  (date/time slot)   │    │  (status: SCHEDULED)  │</w:t>
            </w:r>
          </w:p>
          <w:p>
            <w:pPr>
              <w:spacing w:after="0" w:line="240"/>
            </w:pPr>
            <w:r>
              <w:rPr>
                <w:rFonts w:ascii="Courier New" w:eastAsia="Courier New"/>
                <w:color w:val="1A2330"/>
                <w:sz w:val="16"/>
                <w:szCs w:val="16"/>
              </w:rPr>
              <w:t xml:space="preserve">        └────────────────────┘    └────────┬─────────────┘</w:t>
            </w:r>
          </w:p>
          <w:p>
            <w:pPr>
              <w:spacing w:after="0" w:line="240"/>
            </w:pPr>
            <w:r>
              <w:rPr>
                <w:rFonts w:ascii="Courier New" w:eastAsia="Courier New"/>
                <w:color w:val="1A2330"/>
                <w:sz w:val="16"/>
                <w:szCs w:val="16"/>
              </w:rPr>
              <w:t xml:space="preserve">                                           │</w:t>
            </w:r>
          </w:p>
          <w:p>
            <w:pPr>
              <w:spacing w:after="0" w:line="240"/>
            </w:pPr>
            <w:r>
              <w:rPr>
                <w:rFonts w:ascii="Courier New" w:eastAsia="Courier New"/>
                <w:color w:val="1A2330"/>
                <w:sz w:val="16"/>
                <w:szCs w:val="16"/>
              </w:rPr>
              <w:t xml:space="preserve">                                           ▼</w:t>
            </w:r>
          </w:p>
          <w:p>
            <w:pPr>
              <w:spacing w:after="0" w:line="240"/>
            </w:pPr>
            <w:r>
              <w:rPr>
                <w:rFonts w:ascii="Courier New" w:eastAsia="Courier New"/>
                <w:color w:val="1A2330"/>
                <w:sz w:val="16"/>
                <w:szCs w:val="16"/>
              </w:rPr>
              <w:t xml:space="preserve">        ┌────────────────────┐    ┌──────────────────────┐</w:t>
            </w:r>
          </w:p>
          <w:p>
            <w:pPr>
              <w:spacing w:after="0" w:line="240"/>
            </w:pPr>
            <w:r>
              <w:rPr>
                <w:rFonts w:ascii="Courier New" w:eastAsia="Courier New"/>
                <w:color w:val="1A2330"/>
                <w:sz w:val="16"/>
                <w:szCs w:val="16"/>
              </w:rPr>
              <w:t xml:space="preserve">        │  Sales Follow-Up   │───▶│  Proposal / 3-Month   │</w:t>
            </w:r>
          </w:p>
          <w:p>
            <w:pPr>
              <w:spacing w:after="0" w:line="240"/>
            </w:pPr>
            <w:r>
              <w:rPr>
                <w:rFonts w:ascii="Courier New" w:eastAsia="Courier New"/>
                <w:color w:val="1A2330"/>
                <w:sz w:val="16"/>
                <w:szCs w:val="16"/>
              </w:rPr>
              <w:t xml:space="preserve">        │  Workflow           │    │  Package Closed        │</w:t>
            </w:r>
          </w:p>
          <w:p>
            <w:pPr>
              <w:spacing w:after="0" w:line="240"/>
            </w:pPr>
            <w:r>
              <w:rPr>
                <w:rFonts w:ascii="Courier New" w:eastAsia="Courier New"/>
                <w:color w:val="1A2330"/>
                <w:sz w:val="16"/>
                <w:szCs w:val="16"/>
              </w:rPr>
              <w:t xml:space="preserve">        └────────────────────┘    └──────────────────────┘</w:t>
            </w:r>
          </w:p>
        </w:tc>
      </w:tr>
    </w:tbl>
    <w:p>
      <w:pPr>
        <w:pStyle w:val="Heading1"/>
        <w:spacing w:after="160" w:before="360" w:line="312"/>
      </w:pPr>
      <w:bookmarkStart w:id="100005" w:name="_Toc100005"/>
      <w:r>
        <w:rPr>
          <w:rFonts w:ascii="Calibri" w:eastAsia="SimHei"/>
          <w:b/>
          <w:bCs/>
          <w:color w:val="0B1220"/>
          <w:sz w:val="32"/>
          <w:szCs w:val="32"/>
        </w:rPr>
        <w:t xml:space="preserve">2. Technical Foundation</w:t>
      </w:r>
      <w:bookmarkEnd w:id="100005"/>
    </w:p>
    <w:p>
      <w:pPr>
        <w:pStyle w:val="Heading2"/>
        <w:spacing w:after="120" w:before="280" w:line="312"/>
      </w:pPr>
      <w:bookmarkStart w:id="100006" w:name="_Toc100006"/>
      <w:r>
        <w:rPr>
          <w:rFonts w:ascii="Calibri" w:eastAsia="SimHei"/>
          <w:b/>
          <w:bCs/>
          <w:color w:val="0B1220"/>
          <w:sz w:val="28"/>
          <w:szCs w:val="28"/>
        </w:rPr>
        <w:t xml:space="preserve">2.1 Stack &amp; Hosting</w:t>
      </w:r>
      <w:bookmarkEnd w:id="100006"/>
    </w:p>
    <w:p>
      <w:pPr>
        <w:spacing w:after="100" w:line="312"/>
        <w:ind w:firstLine="0"/>
        <w:jc w:val="both"/>
      </w:pPr>
      <w:r>
        <w:rPr>
          <w:rFonts w:ascii="Calibri" w:eastAsia="Microsoft YaHei"/>
          <w:color w:val="1A2330"/>
          <w:sz w:val="22"/>
          <w:szCs w:val="22"/>
        </w:rPr>
        <w:t xml:space="preserve">The landing page must be deployed as a fast-loading, mobile-first single-page experience. Recommended stack: a Next.js (or equivalent SSR/SSG framework) front-end deployed on a managed host (Vercel / Netlify / equivalent), with a headless CMS (Sanity / Strapi / Contentful) for editable copy sections, and an integrated CRM (HubSpot / Pipedrive / equivalent) for lead capture. The page must load in under 2.5 seconds on a 4G mobile connection (Largest Contentful Paint metric) — IDEX visitors will be on mobile devices, often on event-center WiFi, so performance is non-negotiable.</w:t>
      </w:r>
    </w:p>
    <w:p>
      <w:pPr>
        <w:pStyle w:val="Heading2"/>
        <w:spacing w:after="120" w:before="280" w:line="312"/>
      </w:pPr>
      <w:bookmarkStart w:id="100007" w:name="_Toc100007"/>
      <w:r>
        <w:rPr>
          <w:rFonts w:ascii="Calibri" w:eastAsia="SimHei"/>
          <w:b/>
          <w:bCs/>
          <w:color w:val="0B1220"/>
          <w:sz w:val="28"/>
          <w:szCs w:val="28"/>
        </w:rPr>
        <w:t xml:space="preserve">2.2 Routing &amp; URL Strategy</w:t>
      </w:r>
      <w:bookmarkEnd w:id="100007"/>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tblGrid>
      <w:tr>
        <w:trPr>
          <w:cantSplit/>
          <w:tblHeader/>
        </w:trPr>
        <w:tc>
          <w:tcPr>
            <w:tcW w:type="pct" w:w="25%"/>
            <w:shd w:fill="D4875A" w:val="clear"/>
            <w:tcMar>
              <w:top w:type="dxa" w:w="80"/>
              <w:left w:type="dxa" w:w="120"/>
              <w:bottom w:type="dxa" w:w="80"/>
              <w:right w:type="dxa" w:w="120"/>
            </w:tcMar>
          </w:tcPr>
          <w:p>
            <w:pPr>
              <w:jc w:val="left"/>
            </w:pPr>
            <w:r>
              <w:rPr>
                <w:rFonts w:ascii="Calibri" w:eastAsia="SimHei"/>
                <w:b/>
                <w:bCs/>
                <w:color w:val="FFFFFF"/>
                <w:sz w:val="20"/>
                <w:szCs w:val="20"/>
              </w:rPr>
              <w:t xml:space="preserve">Route</w:t>
            </w:r>
          </w:p>
        </w:tc>
        <w:tc>
          <w:tcPr>
            <w:tcW w:type="pct" w:w="75%"/>
            <w:shd w:fill="D4875A" w:val="clear"/>
            <w:tcMar>
              <w:top w:type="dxa" w:w="80"/>
              <w:left w:type="dxa" w:w="120"/>
              <w:bottom w:type="dxa" w:w="80"/>
              <w:right w:type="dxa" w:w="120"/>
            </w:tcMar>
          </w:tcPr>
          <w:p>
            <w:pPr>
              <w:jc w:val="left"/>
            </w:pPr>
            <w:r>
              <w:rPr>
                <w:rFonts w:ascii="Calibri" w:eastAsia="SimHei"/>
                <w:b/>
                <w:bCs/>
                <w:color w:val="FFFFFF"/>
                <w:sz w:val="20"/>
                <w:szCs w:val="20"/>
              </w:rPr>
              <w:t xml:space="preserve">Purpose</w:t>
            </w:r>
          </w:p>
        </w:tc>
      </w:tr>
      <w:tr>
        <w:trPr>
          <w:cantSplit/>
        </w:trPr>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/idex</w:t>
            </w:r>
          </w:p>
        </w:tc>
        <w:tc>
          <w:tcPr>
            <w:tcW w:type="pct" w:w="7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Primary landing page. All QR codes, social posts, and outreach links point here.</w:t>
            </w:r>
          </w:p>
        </w:tc>
      </w:tr>
      <w:tr>
        <w:trPr>
          <w:cantSplit/>
        </w:trPr>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/idex/audit</w:t>
            </w:r>
          </w:p>
        </w:tc>
        <w:tc>
          <w:tcPr>
            <w:tcW w:type="pct" w:w="7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Standalone audit-request shortcut. Used when the audit CTA is promoted independently.</w:t>
            </w:r>
          </w:p>
        </w:tc>
      </w:tr>
      <w:tr>
        <w:trPr>
          <w:cantSplit/>
        </w:trPr>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/idex/book</w:t>
            </w:r>
          </w:p>
        </w:tc>
        <w:tc>
          <w:tcPr>
            <w:tcW w:type="pct" w:w="7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Standalone meeting-booking shortcut. Used in outreach emails to bypass the long page.</w:t>
            </w:r>
          </w:p>
        </w:tc>
      </w:tr>
      <w:tr>
        <w:trPr>
          <w:cantSplit/>
        </w:trPr>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/idex/thank-you</w:t>
            </w:r>
          </w:p>
        </w:tc>
        <w:tc>
          <w:tcPr>
            <w:tcW w:type="pct" w:w="7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Post-submission confirmation page. Fires conversion pixels and shows next steps.</w:t>
            </w:r>
          </w:p>
        </w:tc>
      </w:tr>
      <w:tr>
        <w:trPr>
          <w:cantSplit/>
        </w:trPr>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/idex/case-study/{slug}</w:t>
            </w:r>
          </w:p>
        </w:tc>
        <w:tc>
          <w:tcPr>
            <w:tcW w:type="pct" w:w="7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Individual case study pages (Dentaquick / Acrostone / Waterpik). Linked from Section 05.</w:t>
            </w:r>
          </w:p>
        </w:tc>
      </w:tr>
    </w:tbl>
    <w:p>
      <w:pPr>
        <w:pStyle w:val="Heading2"/>
        <w:spacing w:after="120" w:before="280" w:line="312"/>
      </w:pPr>
      <w:bookmarkStart w:id="100008" w:name="_Toc100008"/>
      <w:r>
        <w:rPr>
          <w:rFonts w:ascii="Calibri" w:eastAsia="SimHei"/>
          <w:b/>
          <w:bCs/>
          <w:color w:val="0B1220"/>
          <w:sz w:val="28"/>
          <w:szCs w:val="28"/>
        </w:rPr>
        <w:t xml:space="preserve">2.3 Tracking &amp; Analytics</w:t>
      </w:r>
      <w:bookmarkEnd w:id="100008"/>
    </w:p>
    <w:p>
      <w:pPr>
        <w:spacing w:after="100" w:line="312"/>
        <w:ind w:firstLine="0"/>
        <w:jc w:val="both"/>
      </w:pPr>
      <w:r>
        <w:rPr>
          <w:rFonts w:ascii="Calibri" w:eastAsia="Microsoft YaHei"/>
          <w:color w:val="1A2330"/>
          <w:sz w:val="22"/>
          <w:szCs w:val="22"/>
        </w:rPr>
        <w:t xml:space="preserve">Every traffic source must arrive at /idex with a UTM-tagged URL so attribution is preserved. The page must fire the following events to GA4 / Tag Manager: qr_scan_landed (when utm_source=qr), section_cta_click (with section_id parameter), audit_form_submit, booking_form_submit, lead_form_submit, and meeting_confirmed. Conversion pixels for LinkedIn, Meta, and Google Ads must be present and triggered on the appropriate submission events. A cookieless analytics fallback (e.g. Plausible / Umami) is recommended as a privacy-respecting baseline.</w:t>
      </w:r>
    </w:p>
    <w:p>
      <w:pPr>
        <w:pStyle w:val="Heading2"/>
        <w:spacing w:after="120" w:before="280" w:line="312"/>
      </w:pPr>
      <w:bookmarkStart w:id="100009" w:name="_Toc100009"/>
      <w:r>
        <w:rPr>
          <w:rFonts w:ascii="Calibri" w:eastAsia="SimHei"/>
          <w:b/>
          <w:bCs/>
          <w:color w:val="0B1220"/>
          <w:sz w:val="28"/>
          <w:szCs w:val="28"/>
        </w:rPr>
        <w:t xml:space="preserve">2.4 Performance &amp; Accessibility Budget</w:t>
      </w:r>
      <w:bookmarkEnd w:id="100009"/>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tblGrid>
      <w:tr>
        <w:trPr>
          <w:cantSplit/>
          <w:tblHeader/>
        </w:trPr>
        <w:tc>
          <w:tcPr>
            <w:tcW w:type="pct" w:w="40%"/>
            <w:shd w:fill="D4875A" w:val="clear"/>
            <w:tcMar>
              <w:top w:type="dxa" w:w="80"/>
              <w:left w:type="dxa" w:w="120"/>
              <w:bottom w:type="dxa" w:w="80"/>
              <w:right w:type="dxa" w:w="120"/>
            </w:tcMar>
          </w:tcPr>
          <w:p>
            <w:pPr>
              <w:jc w:val="left"/>
            </w:pPr>
            <w:r>
              <w:rPr>
                <w:rFonts w:ascii="Calibri" w:eastAsia="SimHei"/>
                <w:b/>
                <w:bCs/>
                <w:color w:val="FFFFFF"/>
                <w:sz w:val="20"/>
                <w:szCs w:val="20"/>
              </w:rPr>
              <w:t xml:space="preserve">Metric</w:t>
            </w:r>
          </w:p>
        </w:tc>
        <w:tc>
          <w:tcPr>
            <w:tcW w:type="pct" w:w="60%"/>
            <w:shd w:fill="D4875A" w:val="clear"/>
            <w:tcMar>
              <w:top w:type="dxa" w:w="80"/>
              <w:left w:type="dxa" w:w="120"/>
              <w:bottom w:type="dxa" w:w="80"/>
              <w:right w:type="dxa" w:w="120"/>
            </w:tcMar>
          </w:tcPr>
          <w:p>
            <w:pPr>
              <w:jc w:val="left"/>
            </w:pPr>
            <w:r>
              <w:rPr>
                <w:rFonts w:ascii="Calibri" w:eastAsia="SimHei"/>
                <w:b/>
                <w:bCs/>
                <w:color w:val="FFFFFF"/>
                <w:sz w:val="20"/>
                <w:szCs w:val="20"/>
              </w:rPr>
              <w:t xml:space="preserve">Target</w:t>
            </w:r>
          </w:p>
        </w:tc>
      </w:tr>
      <w:tr>
        <w:trPr>
          <w:cantSplit/>
        </w:trPr>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Largest Contentful Paint (LCP)</w:t>
            </w:r>
          </w:p>
        </w:tc>
        <w:tc>
          <w:tcPr>
            <w:tcW w:type="pct" w:w="6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&lt; 2.5s on 4G mobile</w:t>
            </w:r>
          </w:p>
        </w:tc>
      </w:tr>
      <w:tr>
        <w:trPr>
          <w:cantSplit/>
        </w:trPr>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Cumulative Layout Shift (CLS)</w:t>
            </w:r>
          </w:p>
        </w:tc>
        <w:tc>
          <w:tcPr>
            <w:tcW w:type="pct" w:w="6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&lt; 0.05</w:t>
            </w:r>
          </w:p>
        </w:tc>
      </w:tr>
      <w:tr>
        <w:trPr>
          <w:cantSplit/>
        </w:trPr>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Total page weight</w:t>
            </w:r>
          </w:p>
        </w:tc>
        <w:tc>
          <w:tcPr>
            <w:tcW w:type="pct" w:w="6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&lt; 1.2 MB</w:t>
            </w:r>
          </w:p>
        </w:tc>
      </w:tr>
      <w:tr>
        <w:trPr>
          <w:cantSplit/>
        </w:trPr>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WCAG conformance</w:t>
            </w:r>
          </w:p>
        </w:tc>
        <w:tc>
          <w:tcPr>
            <w:tcW w:type="pct" w:w="6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WCAG 2.1 AA — required</w:t>
            </w:r>
          </w:p>
        </w:tc>
      </w:tr>
      <w:tr>
        <w:trPr>
          <w:cantSplit/>
        </w:trPr>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Image format</w:t>
            </w:r>
          </w:p>
        </w:tc>
        <w:tc>
          <w:tcPr>
            <w:tcW w:type="pct" w:w="6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WebP / AVIF for hero &amp; case study imagery</w:t>
            </w:r>
          </w:p>
        </w:tc>
      </w:tr>
      <w:tr>
        <w:trPr>
          <w:cantSplit/>
        </w:trPr>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Font loading</w:t>
            </w:r>
          </w:p>
        </w:tc>
        <w:tc>
          <w:tcPr>
            <w:tcW w:type="pct" w:w="6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Self-hosted, font-display: swap, subset to Latin</w:t>
            </w:r>
          </w:p>
        </w:tc>
      </w:tr>
    </w:tbl>
    <w:p>
      <w:pPr>
        <w:pStyle w:val="Heading1"/>
        <w:spacing w:after="160" w:before="360" w:line="312"/>
      </w:pPr>
      <w:bookmarkStart w:id="100010" w:name="_Toc100010"/>
      <w:r>
        <w:rPr>
          <w:rFonts w:ascii="Calibri" w:eastAsia="SimHei"/>
          <w:b/>
          <w:bCs/>
          <w:color w:val="0B1220"/>
          <w:sz w:val="32"/>
          <w:szCs w:val="32"/>
        </w:rPr>
        <w:t xml:space="preserve">3. Page Section Specifications</w:t>
      </w:r>
      <w:bookmarkEnd w:id="100010"/>
    </w:p>
    <w:p>
      <w:pPr>
        <w:spacing w:after="100" w:line="312"/>
        <w:ind w:firstLine="0"/>
        <w:jc w:val="both"/>
      </w:pPr>
      <w:r>
        <w:rPr>
          <w:rFonts w:ascii="Calibri" w:eastAsia="Microsoft YaHei"/>
          <w:color w:val="1A2330"/>
          <w:sz w:val="22"/>
          <w:szCs w:val="22"/>
        </w:rPr>
        <w:t xml:space="preserve">This chapter is the core of the build spec. Each section below contains: (1) purpose, (2) layout wireframe, (3) exact copy, (4) required components, (5) behavior, (6) integration points, and (7) acceptance criteria. Sections are numbered 01 through 08 to match the on-page order. The total on-page scroll depth target is approximately 4–5 screens on a 1080p desktop viewport.</w:t>
      </w:r>
    </w:p>
    <w:p>
      <w:pPr>
        <w:pStyle w:val="Heading2"/>
        <w:spacing w:after="120" w:before="280" w:line="312"/>
      </w:pPr>
      <w:bookmarkStart w:id="100011" w:name="_Toc100011"/>
      <w:r>
        <w:rPr>
          <w:rFonts w:ascii="Calibri" w:eastAsia="SimHei"/>
          <w:b/>
          <w:bCs/>
          <w:color w:val="0B1220"/>
          <w:sz w:val="28"/>
          <w:szCs w:val="28"/>
        </w:rPr>
        <w:t xml:space="preserve">3.1 Section 01 — Hero</w:t>
      </w:r>
      <w:bookmarkEnd w:id="100011"/>
    </w:p>
    <w:p>
      <w:pPr>
        <w:pStyle w:val="Heading3"/>
        <w:spacing w:after="100" w:before="220" w:line="312"/>
      </w:pPr>
      <w:bookmarkStart w:id="100012" w:name="_Toc100012"/>
      <w:r>
        <w:rPr>
          <w:rFonts w:ascii="Calibri" w:eastAsia="SimHei"/>
          <w:b/>
          <w:bCs/>
          <w:color w:val="0B1220"/>
          <w:sz w:val="24"/>
          <w:szCs w:val="24"/>
        </w:rPr>
        <w:t xml:space="preserve">Purpose</w:t>
      </w:r>
      <w:bookmarkEnd w:id="100012"/>
    </w:p>
    <w:p>
      <w:pPr>
        <w:spacing w:after="100" w:line="312"/>
        <w:ind w:firstLine="0"/>
        <w:jc w:val="both"/>
      </w:pPr>
      <w:r>
        <w:rPr>
          <w:rFonts w:ascii="Calibri" w:eastAsia="Microsoft YaHei"/>
          <w:color w:val="1A2330"/>
          <w:sz w:val="22"/>
          <w:szCs w:val="22"/>
        </w:rPr>
        <w:t xml:space="preserve">Establish the value proposition within 5 seconds of page load. The hero must answer: what does ICEBERG do for IDEX exhibitors, and what action should the visitor take next? Two CTAs are present — primary (consultation) and secondary (explore offer) — to capture both ready-to-book and still-exploring visitors.</w:t>
      </w:r>
    </w:p>
    <w:p>
      <w:pPr>
        <w:pStyle w:val="Heading3"/>
        <w:spacing w:after="100" w:before="220" w:line="312"/>
      </w:pPr>
      <w:bookmarkStart w:id="100013" w:name="_Toc100013"/>
      <w:r>
        <w:rPr>
          <w:rFonts w:ascii="Calibri" w:eastAsia="SimHei"/>
          <w:b/>
          <w:bCs/>
          <w:color w:val="0B1220"/>
          <w:sz w:val="24"/>
          <w:szCs w:val="24"/>
        </w:rPr>
        <w:t xml:space="preserve">Wireframe</w:t>
      </w:r>
      <w:bookmarkEnd w:id="100013"/>
    </w:p>
    <w:tbl>
      <w:tblPr>
        <w:tblW w:type="pct" w:w="100%"/>
        <w:tblBorders>
          <w:top w:val="single" w:color="D4875A" w:sz="2"/>
          <w:left w:val="none"/>
          <w:bottom w:val="single" w:color="D4875A" w:sz="2"/>
          <w:right w:val="none"/>
          <w:insideH w:val="single" w:color="DDD0C8" w:sz="1"/>
          <w:insideV w:val="none"/>
        </w:tblBorders>
        <w:tblLayout w:type="fixed"/>
      </w:tblPr>
      <w:tblGrid>
        <w:gridCol w:w="100"/>
      </w:tblGrid>
      <w:tr>
        <w:trPr>
          <w:cantSplit/>
          <w:tblHeader/>
        </w:trPr>
        <w:tc>
          <w:tcPr>
            <w:tcW w:type="pct" w:w="100%"/>
            <w:shd w:fill="D4875A" w:val="clear"/>
            <w:tcMar>
              <w:top w:type="dxa" w:w="60"/>
              <w:left w:type="dxa" w:w="120"/>
              <w:bottom w:type="dxa" w:w="60"/>
              <w:right w:type="dxa" w:w="120"/>
            </w:tcMar>
          </w:tcPr>
          <w:p>
            <w:r>
              <w:rPr>
                <w:rFonts w:ascii="Calibri" w:eastAsia="SimHei"/>
                <w:b/>
                <w:bCs/>
                <w:color w:val="FFFFFF"/>
                <w:sz w:val="18"/>
                <w:szCs w:val="18"/>
              </w:rPr>
              <w:t xml:space="preserve">Figure 2 — Hero Section Wireframe</w:t>
            </w:r>
          </w:p>
        </w:tc>
      </w:tr>
      <w:tr>
        <w:trPr>
          <w:cantSplit/>
        </w:trPr>
        <w:tc>
          <w:tcPr>
            <w:tcW w:type="pct" w:w="100%"/>
            <w:shd w:fill="FBFBFB" w:val="clear"/>
            <w:tcMar>
              <w:top w:type="dxa" w:w="100"/>
              <w:left w:type="dxa" w:w="140"/>
              <w:bottom w:type="dxa" w:w="100"/>
              <w:right w:type="dxa" w:w="140"/>
            </w:tcMar>
          </w:tcPr>
          <w:p>
            <w:pPr>
              <w:spacing w:after="0" w:line="240"/>
            </w:pPr>
            <w:r>
              <w:rPr>
                <w:rFonts w:ascii="Courier New" w:eastAsia="Courier New"/>
                <w:color w:val="1A2330"/>
                <w:sz w:val="16"/>
                <w:szCs w:val="16"/>
              </w:rPr>
              <w:t xml:space="preserve">┌────────────────────────────────────────────────────────────┐</w:t>
            </w:r>
          </w:p>
          <w:p>
            <w:pPr>
              <w:spacing w:after="0" w:line="240"/>
            </w:pPr>
            <w:r>
              <w:rPr>
                <w:rFonts w:ascii="Courier New" w:eastAsia="Courier New"/>
                <w:color w:val="1A2330"/>
                <w:sz w:val="16"/>
                <w:szCs w:val="16"/>
              </w:rPr>
              <w:t xml:space="preserve">│  [DESKTOP — full viewport height, ~85vh]                   │</w:t>
            </w:r>
          </w:p>
          <w:p>
            <w:pPr>
              <w:spacing w:after="0" w:line="240"/>
            </w:pPr>
            <w:r>
              <w:rPr>
                <w:rFonts w:ascii="Courier New" w:eastAsia="Courier New"/>
                <w:color w:val="1A2330"/>
                <w:sz w:val="16"/>
                <w:szCs w:val="16"/>
              </w:rPr>
              <w:t xml:space="preserve">│                                                            │</w:t>
            </w:r>
          </w:p>
          <w:p>
            <w:pPr>
              <w:spacing w:after="0" w:line="240"/>
            </w:pPr>
            <w:r>
              <w:rPr>
                <w:rFonts w:ascii="Courier New" w:eastAsia="Courier New"/>
                <w:color w:val="1A2330"/>
                <w:sz w:val="16"/>
                <w:szCs w:val="16"/>
              </w:rPr>
              <w:t xml:space="preserve">│  eyebrow:    EVENT PLAN · IDEX                             │</w:t>
            </w:r>
          </w:p>
          <w:p>
            <w:pPr>
              <w:spacing w:after="0" w:line="240"/>
            </w:pPr>
            <w:r>
              <w:rPr>
                <w:rFonts w:ascii="Courier New" w:eastAsia="Courier New"/>
                <w:color w:val="1A2330"/>
                <w:sz w:val="16"/>
                <w:szCs w:val="16"/>
              </w:rPr>
              <w:t xml:space="preserve">│                                                            │</w:t>
            </w:r>
          </w:p>
          <w:p>
            <w:pPr>
              <w:spacing w:after="0" w:line="240"/>
            </w:pPr>
            <w:r>
              <w:rPr>
                <w:rFonts w:ascii="Courier New" w:eastAsia="Courier New"/>
                <w:color w:val="1A2330"/>
                <w:sz w:val="16"/>
                <w:szCs w:val="16"/>
              </w:rPr>
              <w:t xml:space="preserve">│  H1:         Turn Your IDEX Presence                        │</w:t>
            </w:r>
          </w:p>
          <w:p>
            <w:pPr>
              <w:spacing w:after="0" w:line="240"/>
            </w:pPr>
            <w:r>
              <w:rPr>
                <w:rFonts w:ascii="Courier New" w:eastAsia="Courier New"/>
                <w:color w:val="1A2330"/>
                <w:sz w:val="16"/>
                <w:szCs w:val="16"/>
              </w:rPr>
              <w:t xml:space="preserve">│              Into Business Growth.                         │</w:t>
            </w:r>
          </w:p>
          <w:p>
            <w:pPr>
              <w:spacing w:after="0" w:line="240"/>
            </w:pPr>
            <w:r>
              <w:rPr>
                <w:rFonts w:ascii="Courier New" w:eastAsia="Courier New"/>
                <w:color w:val="1A2330"/>
                <w:sz w:val="16"/>
                <w:szCs w:val="16"/>
              </w:rPr>
              <w:t xml:space="preserve">│                                                            │</w:t>
            </w:r>
          </w:p>
          <w:p>
            <w:pPr>
              <w:spacing w:after="0" w:line="240"/>
            </w:pPr>
            <w:r>
              <w:rPr>
                <w:rFonts w:ascii="Courier New" w:eastAsia="Courier New"/>
                <w:color w:val="1A2330"/>
                <w:sz w:val="16"/>
                <w:szCs w:val="16"/>
              </w:rPr>
              <w:t xml:space="preserve">│  supporting  IDEX creates opportunities. ICEBERG helps you  │</w:t>
            </w:r>
          </w:p>
          <w:p>
            <w:pPr>
              <w:spacing w:after="0" w:line="240"/>
            </w:pPr>
            <w:r>
              <w:rPr>
                <w:rFonts w:ascii="Courier New" w:eastAsia="Courier New"/>
                <w:color w:val="1A2330"/>
                <w:sz w:val="16"/>
                <w:szCs w:val="16"/>
              </w:rPr>
              <w:t xml:space="preserve">│  copy:       turn those opportunities into stronger         │</w:t>
            </w:r>
          </w:p>
          <w:p>
            <w:pPr>
              <w:spacing w:after="0" w:line="240"/>
            </w:pPr>
            <w:r>
              <w:rPr>
                <w:rFonts w:ascii="Courier New" w:eastAsia="Courier New"/>
                <w:color w:val="1A2330"/>
                <w:sz w:val="16"/>
                <w:szCs w:val="16"/>
              </w:rPr>
              <w:t xml:space="preserve">│              branding, digital presence, marketing          │</w:t>
            </w:r>
          </w:p>
          <w:p>
            <w:pPr>
              <w:spacing w:after="0" w:line="240"/>
            </w:pPr>
            <w:r>
              <w:rPr>
                <w:rFonts w:ascii="Courier New" w:eastAsia="Courier New"/>
                <w:color w:val="1A2330"/>
                <w:sz w:val="16"/>
                <w:szCs w:val="16"/>
              </w:rPr>
              <w:t xml:space="preserve">│              performance, and business growth.             │</w:t>
            </w:r>
          </w:p>
          <w:p>
            <w:pPr>
              <w:spacing w:after="0" w:line="240"/>
            </w:pPr>
            <w:r>
              <w:rPr>
                <w:rFonts w:ascii="Courier New" w:eastAsia="Courier New"/>
                <w:color w:val="1A2330"/>
                <w:sz w:val="16"/>
                <w:szCs w:val="16"/>
              </w:rPr>
              <w:t xml:space="preserve">│                                                            │</w:t>
            </w:r>
          </w:p>
          <w:p>
            <w:pPr>
              <w:spacing w:after="0" w:line="240"/>
            </w:pPr>
            <w:r>
              <w:rPr>
                <w:rFonts w:ascii="Courier New" w:eastAsia="Courier New"/>
                <w:color w:val="1A2330"/>
                <w:sz w:val="16"/>
                <w:szCs w:val="16"/>
              </w:rPr>
              <w:t xml:space="preserve">│  [ Book Your IDEX Consultation ]   Explore the IDEX Offer  │</w:t>
            </w:r>
          </w:p>
          <w:p>
            <w:pPr>
              <w:spacing w:after="0" w:line="240"/>
            </w:pPr>
            <w:r>
              <w:rPr>
                <w:rFonts w:ascii="Courier New" w:eastAsia="Courier New"/>
                <w:color w:val="1A2330"/>
                <w:sz w:val="16"/>
                <w:szCs w:val="16"/>
              </w:rPr>
              <w:t xml:space="preserve">│  ▲ primary CTA (accent)            ▲ secondary CTA (ghost)  │</w:t>
            </w:r>
          </w:p>
          <w:p>
            <w:pPr>
              <w:spacing w:after="0" w:line="240"/>
            </w:pPr>
            <w:r>
              <w:rPr>
                <w:rFonts w:ascii="Courier New" w:eastAsia="Courier New"/>
                <w:color w:val="1A2330"/>
                <w:sz w:val="16"/>
                <w:szCs w:val="16"/>
              </w:rPr>
              <w:t xml:space="preserve">│                                                            │</w:t>
            </w:r>
          </w:p>
          <w:p>
            <w:pPr>
              <w:spacing w:after="0" w:line="240"/>
            </w:pPr>
            <w:r>
              <w:rPr>
                <w:rFonts w:ascii="Courier New" w:eastAsia="Courier New"/>
                <w:color w:val="1A2330"/>
                <w:sz w:val="16"/>
                <w:szCs w:val="16"/>
              </w:rPr>
              <w:t xml:space="preserve">│  ─ ─ ─ ─ ─ ─ ─ ─ ─ ─ ─ ─ ─ ─ ─ ─ ─ ─ ─ ─ ─ ─ ─ ─ ─ ─ ─ ─ │</w:t>
            </w:r>
          </w:p>
          <w:p>
            <w:pPr>
              <w:spacing w:after="0" w:line="240"/>
            </w:pPr>
            <w:r>
              <w:rPr>
                <w:rFonts w:ascii="Courier New" w:eastAsia="Courier New"/>
                <w:color w:val="1A2330"/>
                <w:sz w:val="16"/>
                <w:szCs w:val="16"/>
              </w:rPr>
              <w:t xml:space="preserve">│  trust strip:   Dentaquick  ·  Acrostone  ·  Waterpik      │</w:t>
            </w:r>
          </w:p>
          <w:p>
            <w:pPr>
              <w:spacing w:after="0" w:line="240"/>
            </w:pPr>
            <w:r>
              <w:rPr>
                <w:rFonts w:ascii="Courier New" w:eastAsia="Courier New"/>
                <w:color w:val="1A2330"/>
                <w:sz w:val="16"/>
                <w:szCs w:val="16"/>
              </w:rPr>
              <w:t xml:space="preserve">└────────────────────────────────────────────────────────────┘</w:t>
            </w:r>
          </w:p>
        </w:tc>
      </w:tr>
    </w:tbl>
    <w:p>
      <w:pPr>
        <w:pStyle w:val="Heading3"/>
        <w:spacing w:after="100" w:before="220" w:line="312"/>
      </w:pPr>
      <w:bookmarkStart w:id="100014" w:name="_Toc100014"/>
      <w:r>
        <w:rPr>
          <w:rFonts w:ascii="Calibri" w:eastAsia="SimHei"/>
          <w:b/>
          <w:bCs/>
          <w:color w:val="0B1220"/>
          <w:sz w:val="24"/>
          <w:szCs w:val="24"/>
        </w:rPr>
        <w:t xml:space="preserve">Exact Copy</w:t>
      </w:r>
      <w:bookmarkEnd w:id="100014"/>
    </w:p>
    <w:p>
      <w:pPr>
        <w:shd w:fill="F4F4F4" w:val="clear"/>
        <w:spacing w:after="0" w:line="276"/>
      </w:pPr>
      <w:r>
        <w:rPr>
          <w:rFonts w:ascii="Courier New" w:eastAsia="Courier New"/>
          <w:color w:val="1A2330"/>
          <w:sz w:val="20"/>
          <w:szCs w:val="20"/>
        </w:rPr>
        <w:t xml:space="preserve">Eyebrow:   EVENT PLAN · IDEX</w:t>
      </w:r>
    </w:p>
    <w:p>
      <w:pPr>
        <w:shd w:fill="F4F4F4" w:val="clear"/>
        <w:spacing w:after="0" w:line="276"/>
      </w:pPr>
      <w:r>
        <w:rPr>
          <w:rFonts w:ascii="Courier New" w:eastAsia="Courier New"/>
          <w:color w:val="1A2330"/>
          <w:sz w:val="20"/>
          <w:szCs w:val="20"/>
        </w:rPr>
        <w:t xml:space="preserve">Headline:  Turn Your IDEX Presence Into Business Growth.</w:t>
      </w:r>
    </w:p>
    <w:p>
      <w:pPr>
        <w:shd w:fill="F4F4F4" w:val="clear"/>
        <w:spacing w:after="0" w:line="276"/>
      </w:pPr>
      <w:r>
        <w:rPr>
          <w:rFonts w:ascii="Courier New" w:eastAsia="Courier New"/>
          <w:color w:val="1A2330"/>
          <w:sz w:val="20"/>
          <w:szCs w:val="20"/>
        </w:rPr>
        <w:t xml:space="preserve">Support:   IDEX creates opportunities. ICEBERG helps you turn those opportunities into stronger branding, digital presence, marketing performance, and business growth.</w:t>
      </w:r>
    </w:p>
    <w:p>
      <w:pPr>
        <w:shd w:fill="F4F4F4" w:val="clear"/>
        <w:spacing w:after="0" w:line="276"/>
      </w:pPr>
      <w:r>
        <w:rPr>
          <w:rFonts w:ascii="Courier New" w:eastAsia="Courier New"/>
          <w:color w:val="1A2330"/>
          <w:sz w:val="20"/>
          <w:szCs w:val="20"/>
        </w:rPr>
        <w:t xml:space="preserve">Primary CTA:    Book Your IDEX Consultation</w:t>
      </w:r>
    </w:p>
    <w:p>
      <w:pPr>
        <w:shd w:fill="F4F4F4" w:val="clear"/>
        <w:spacing w:after="0" w:line="276"/>
      </w:pPr>
      <w:r>
        <w:rPr>
          <w:rFonts w:ascii="Courier New" w:eastAsia="Courier New"/>
          <w:color w:val="1A2330"/>
          <w:sz w:val="20"/>
          <w:szCs w:val="20"/>
        </w:rPr>
        <w:t xml:space="preserve">Secondary CTA:  Explore the IDEX Offer</w:t>
      </w:r>
    </w:p>
    <w:p>
      <w:pPr>
        <w:pStyle w:val="Heading3"/>
        <w:spacing w:after="100" w:before="220" w:line="312"/>
      </w:pPr>
      <w:bookmarkStart w:id="100015" w:name="_Toc100015"/>
      <w:r>
        <w:rPr>
          <w:rFonts w:ascii="Calibri" w:eastAsia="SimHei"/>
          <w:b/>
          <w:bCs/>
          <w:color w:val="0B1220"/>
          <w:sz w:val="24"/>
          <w:szCs w:val="24"/>
        </w:rPr>
        <w:t xml:space="preserve">Components</w:t>
      </w:r>
      <w:bookmarkEnd w:id="100015"/>
    </w:p>
    <w:p>
      <w:pPr>
        <w:pStyle w:val="ListParagraph"/>
        <w:numPr>
          <w:ilvl w:val="0"/>
          <w:numId w:val="1"/>
        </w:numPr>
        <w:spacing w:after="60" w:line="312"/>
      </w:pPr>
      <w:r>
        <w:rPr>
          <w:rFonts w:ascii="Calibri" w:eastAsia="Microsoft YaHei"/>
          <w:color w:val="1A2330"/>
          <w:sz w:val="22"/>
          <w:szCs w:val="22"/>
        </w:rPr>
        <w:t xml:space="preserve">Eyebrow tag — small uppercase label, accent color, letter-spacing 0.2em.</w:t>
      </w:r>
    </w:p>
    <w:p>
      <w:pPr>
        <w:pStyle w:val="ListParagraph"/>
        <w:numPr>
          <w:ilvl w:val="0"/>
          <w:numId w:val="1"/>
        </w:numPr>
        <w:spacing w:after="60" w:line="312"/>
      </w:pPr>
      <w:r>
        <w:rPr>
          <w:rFonts w:ascii="Calibri" w:eastAsia="Microsoft YaHei"/>
          <w:color w:val="1A2330"/>
          <w:sz w:val="22"/>
          <w:szCs w:val="22"/>
        </w:rPr>
        <w:t xml:space="preserve">H1 headline — font-size 48–56px desktop / 32–36px mobile, weight 700, max 2 lines.</w:t>
      </w:r>
    </w:p>
    <w:p>
      <w:pPr>
        <w:pStyle w:val="ListParagraph"/>
        <w:numPr>
          <w:ilvl w:val="0"/>
          <w:numId w:val="1"/>
        </w:numPr>
        <w:spacing w:after="60" w:line="312"/>
      </w:pPr>
      <w:r>
        <w:rPr>
          <w:rFonts w:ascii="Calibri" w:eastAsia="Microsoft YaHei"/>
          <w:color w:val="1A2330"/>
          <w:sz w:val="22"/>
          <w:szCs w:val="22"/>
        </w:rPr>
        <w:t xml:space="preserve">Supporting paragraph — font-size 18px desktop / 16px mobile, color primary-muted, max-width 640px.</w:t>
      </w:r>
    </w:p>
    <w:p>
      <w:pPr>
        <w:pStyle w:val="ListParagraph"/>
        <w:numPr>
          <w:ilvl w:val="0"/>
          <w:numId w:val="1"/>
        </w:numPr>
        <w:spacing w:after="60" w:line="312"/>
      </w:pPr>
      <w:r>
        <w:rPr>
          <w:rFonts w:ascii="Calibri" w:eastAsia="Microsoft YaHei"/>
          <w:color w:val="1A2330"/>
          <w:sz w:val="22"/>
          <w:szCs w:val="22"/>
        </w:rPr>
        <w:t xml:space="preserve">Primary CTA button — accent background, dark text, padding 14px 28px, rounded 6px, hover state lifts +2px and darkens accent 10%.</w:t>
      </w:r>
    </w:p>
    <w:p>
      <w:pPr>
        <w:pStyle w:val="ListParagraph"/>
        <w:numPr>
          <w:ilvl w:val="0"/>
          <w:numId w:val="1"/>
        </w:numPr>
        <w:spacing w:after="60" w:line="312"/>
      </w:pPr>
      <w:r>
        <w:rPr>
          <w:rFonts w:ascii="Calibri" w:eastAsia="Microsoft YaHei"/>
          <w:color w:val="1A2330"/>
          <w:sz w:val="22"/>
          <w:szCs w:val="22"/>
        </w:rPr>
        <w:t xml:space="preserve">Secondary CTA — ghost style (transparent bg, accent border), same dimensions, hover fills with accent at 10% opacity.</w:t>
      </w:r>
    </w:p>
    <w:p>
      <w:pPr>
        <w:pStyle w:val="ListParagraph"/>
        <w:numPr>
          <w:ilvl w:val="0"/>
          <w:numId w:val="1"/>
        </w:numPr>
        <w:spacing w:after="60" w:line="312"/>
      </w:pPr>
      <w:r>
        <w:rPr>
          <w:rFonts w:ascii="Calibri" w:eastAsia="Microsoft YaHei"/>
          <w:color w:val="1A2330"/>
          <w:sz w:val="22"/>
          <w:szCs w:val="22"/>
        </w:rPr>
        <w:t xml:space="preserve">Trust strip — three client logos in a horizontal row, separated by middle-dot, opacity 0.7, hover full opacity. Clicking each scrolls to Section 05.</w:t>
      </w:r>
    </w:p>
    <w:p>
      <w:pPr>
        <w:pStyle w:val="Heading3"/>
        <w:spacing w:after="100" w:before="220" w:line="312"/>
      </w:pPr>
      <w:bookmarkStart w:id="100016" w:name="_Toc100016"/>
      <w:r>
        <w:rPr>
          <w:rFonts w:ascii="Calibri" w:eastAsia="SimHei"/>
          <w:b/>
          <w:bCs/>
          <w:color w:val="0B1220"/>
          <w:sz w:val="24"/>
          <w:szCs w:val="24"/>
        </w:rPr>
        <w:t xml:space="preserve">Behavior</w:t>
      </w:r>
      <w:bookmarkEnd w:id="100016"/>
    </w:p>
    <w:p>
      <w:pPr>
        <w:pStyle w:val="ListParagraph"/>
        <w:numPr>
          <w:ilvl w:val="0"/>
          <w:numId w:val="1"/>
        </w:numPr>
        <w:spacing w:after="60" w:line="312"/>
      </w:pPr>
      <w:r>
        <w:rPr>
          <w:rFonts w:ascii="Calibri" w:eastAsia="Microsoft YaHei"/>
          <w:color w:val="1A2330"/>
          <w:sz w:val="22"/>
          <w:szCs w:val="22"/>
        </w:rPr>
        <w:t xml:space="preserve">Primary CTA click → smooth-scroll to Section 07 (Calendar) AND fires section_cta_click event with section_id=hero_primary.</w:t>
      </w:r>
    </w:p>
    <w:p>
      <w:pPr>
        <w:pStyle w:val="ListParagraph"/>
        <w:numPr>
          <w:ilvl w:val="0"/>
          <w:numId w:val="1"/>
        </w:numPr>
        <w:spacing w:after="60" w:line="312"/>
      </w:pPr>
      <w:r>
        <w:rPr>
          <w:rFonts w:ascii="Calibri" w:eastAsia="Microsoft YaHei"/>
          <w:color w:val="1A2330"/>
          <w:sz w:val="22"/>
          <w:szCs w:val="22"/>
        </w:rPr>
        <w:t xml:space="preserve">Secondary CTA click → smooth-scroll to Section 04 (Package) AND fires section_cta_click event with section_id=hero_secondary.</w:t>
      </w:r>
    </w:p>
    <w:p>
      <w:pPr>
        <w:pStyle w:val="ListParagraph"/>
        <w:numPr>
          <w:ilvl w:val="0"/>
          <w:numId w:val="1"/>
        </w:numPr>
        <w:spacing w:after="60" w:line="312"/>
      </w:pPr>
      <w:r>
        <w:rPr>
          <w:rFonts w:ascii="Calibri" w:eastAsia="Microsoft YaHei"/>
          <w:color w:val="1A2330"/>
          <w:sz w:val="22"/>
          <w:szCs w:val="22"/>
        </w:rPr>
        <w:t xml:space="preserve">On mobile (≤ 768px), CTAs stack vertically with full-width buttons; trust strip wraps to 2 rows.</w:t>
      </w:r>
    </w:p>
    <w:p>
      <w:pPr>
        <w:pStyle w:val="Heading3"/>
        <w:spacing w:after="100" w:before="220" w:line="312"/>
      </w:pPr>
      <w:bookmarkStart w:id="100017" w:name="_Toc100017"/>
      <w:r>
        <w:rPr>
          <w:rFonts w:ascii="Calibri" w:eastAsia="SimHei"/>
          <w:b/>
          <w:bCs/>
          <w:color w:val="0B1220"/>
          <w:sz w:val="24"/>
          <w:szCs w:val="24"/>
        </w:rPr>
        <w:t xml:space="preserve">Acceptance Criteria</w:t>
      </w:r>
      <w:bookmarkEnd w:id="100017"/>
    </w:p>
    <w:p>
      <w:pPr>
        <w:pStyle w:val="ListParagraph"/>
        <w:numPr>
          <w:ilvl w:val="0"/>
          <w:numId w:val="1"/>
        </w:numPr>
        <w:spacing w:after="60" w:line="312"/>
      </w:pPr>
      <w:r>
        <w:rPr>
          <w:rFonts w:ascii="Calibri" w:eastAsia="Microsoft YaHei"/>
          <w:color w:val="1A2330"/>
          <w:sz w:val="22"/>
          <w:szCs w:val="22"/>
        </w:rPr>
        <w:t xml:space="preserve">Hero renders at 85vh on desktop with no horizontal scroll at 1280px, 1024px, 768px, 414px, 375px widths.</w:t>
      </w:r>
    </w:p>
    <w:p>
      <w:pPr>
        <w:pStyle w:val="ListParagraph"/>
        <w:numPr>
          <w:ilvl w:val="0"/>
          <w:numId w:val="1"/>
        </w:numPr>
        <w:spacing w:after="60" w:line="312"/>
      </w:pPr>
      <w:r>
        <w:rPr>
          <w:rFonts w:ascii="Calibri" w:eastAsia="Microsoft YaHei"/>
          <w:color w:val="1A2330"/>
          <w:sz w:val="22"/>
          <w:szCs w:val="22"/>
        </w:rPr>
        <w:t xml:space="preserve">LCP element (H1 text) renders within 2.5s on 4G mobile throttle.</w:t>
      </w:r>
    </w:p>
    <w:p>
      <w:pPr>
        <w:pStyle w:val="ListParagraph"/>
        <w:numPr>
          <w:ilvl w:val="0"/>
          <w:numId w:val="1"/>
        </w:numPr>
        <w:spacing w:after="60" w:line="312"/>
      </w:pPr>
      <w:r>
        <w:rPr>
          <w:rFonts w:ascii="Calibri" w:eastAsia="Microsoft YaHei"/>
          <w:color w:val="1A2330"/>
          <w:sz w:val="22"/>
          <w:szCs w:val="22"/>
        </w:rPr>
        <w:t xml:space="preserve">Both CTAs are keyboard-focusable with visible focus ring.</w:t>
      </w:r>
    </w:p>
    <w:p>
      <w:pPr>
        <w:pStyle w:val="ListParagraph"/>
        <w:numPr>
          <w:ilvl w:val="0"/>
          <w:numId w:val="1"/>
        </w:numPr>
        <w:spacing w:after="60" w:line="312"/>
      </w:pPr>
      <w:r>
        <w:rPr>
          <w:rFonts w:ascii="Calibri" w:eastAsia="Microsoft YaHei"/>
          <w:color w:val="1A2330"/>
          <w:sz w:val="22"/>
          <w:szCs w:val="22"/>
        </w:rPr>
        <w:t xml:space="preserve">Section cta_click events fire correctly to GA4 dataLayer.</w:t>
      </w:r>
    </w:p>
    <w:p>
      <w:pPr>
        <w:pStyle w:val="Heading2"/>
        <w:spacing w:after="120" w:before="280" w:line="312"/>
      </w:pPr>
      <w:bookmarkStart w:id="100018" w:name="_Toc100018"/>
      <w:r>
        <w:rPr>
          <w:rFonts w:ascii="Calibri" w:eastAsia="SimHei"/>
          <w:b/>
          <w:bCs/>
          <w:color w:val="0B1220"/>
          <w:sz w:val="28"/>
          <w:szCs w:val="28"/>
        </w:rPr>
        <w:t xml:space="preserve">3.2 Section 02 — Why ICEBERG for IDEX</w:t>
      </w:r>
      <w:bookmarkEnd w:id="100018"/>
    </w:p>
    <w:p>
      <w:pPr>
        <w:pStyle w:val="Heading3"/>
        <w:spacing w:after="100" w:before="220" w:line="312"/>
      </w:pPr>
      <w:bookmarkStart w:id="100019" w:name="_Toc100019"/>
      <w:r>
        <w:rPr>
          <w:rFonts w:ascii="Calibri" w:eastAsia="SimHei"/>
          <w:b/>
          <w:bCs/>
          <w:color w:val="0B1220"/>
          <w:sz w:val="24"/>
          <w:szCs w:val="24"/>
        </w:rPr>
        <w:t xml:space="preserve">Purpose</w:t>
      </w:r>
      <w:bookmarkEnd w:id="100019"/>
    </w:p>
    <w:p>
      <w:pPr>
        <w:spacing w:after="100" w:line="312"/>
        <w:ind w:firstLine="0"/>
        <w:jc w:val="both"/>
      </w:pPr>
      <w:r>
        <w:rPr>
          <w:rFonts w:ascii="Calibri" w:eastAsia="Microsoft YaHei"/>
          <w:color w:val="1A2330"/>
          <w:sz w:val="22"/>
          <w:szCs w:val="22"/>
        </w:rPr>
        <w:t xml:space="preserve">Convert top-of-funnel interest into consideration by articulating ICEBERG's value across five pillars. This section answers "why work with ICEBERG before, during, and after the event?" Pillars are intentionally narrow — one verb each — so the visitor can map their need to a specific capability.</w:t>
      </w:r>
    </w:p>
    <w:p>
      <w:pPr>
        <w:pStyle w:val="Heading3"/>
        <w:spacing w:after="100" w:before="220" w:line="312"/>
      </w:pPr>
      <w:bookmarkStart w:id="100020" w:name="_Toc100020"/>
      <w:r>
        <w:rPr>
          <w:rFonts w:ascii="Calibri" w:eastAsia="SimHei"/>
          <w:b/>
          <w:bCs/>
          <w:color w:val="0B1220"/>
          <w:sz w:val="24"/>
          <w:szCs w:val="24"/>
        </w:rPr>
        <w:t xml:space="preserve">Wireframe</w:t>
      </w:r>
      <w:bookmarkEnd w:id="100020"/>
    </w:p>
    <w:tbl>
      <w:tblPr>
        <w:tblW w:type="pct" w:w="100%"/>
        <w:tblBorders>
          <w:top w:val="single" w:color="D4875A" w:sz="2"/>
          <w:left w:val="none"/>
          <w:bottom w:val="single" w:color="D4875A" w:sz="2"/>
          <w:right w:val="none"/>
          <w:insideH w:val="single" w:color="DDD0C8" w:sz="1"/>
          <w:insideV w:val="none"/>
        </w:tblBorders>
        <w:tblLayout w:type="fixed"/>
      </w:tblPr>
      <w:tblGrid>
        <w:gridCol w:w="100"/>
      </w:tblGrid>
      <w:tr>
        <w:trPr>
          <w:cantSplit/>
          <w:tblHeader/>
        </w:trPr>
        <w:tc>
          <w:tcPr>
            <w:tcW w:type="pct" w:w="100%"/>
            <w:shd w:fill="D4875A" w:val="clear"/>
            <w:tcMar>
              <w:top w:type="dxa" w:w="60"/>
              <w:left w:type="dxa" w:w="120"/>
              <w:bottom w:type="dxa" w:w="60"/>
              <w:right w:type="dxa" w:w="120"/>
            </w:tcMar>
          </w:tcPr>
          <w:p>
            <w:r>
              <w:rPr>
                <w:rFonts w:ascii="Calibri" w:eastAsia="SimHei"/>
                <w:b/>
                <w:bCs/>
                <w:color w:val="FFFFFF"/>
                <w:sz w:val="18"/>
                <w:szCs w:val="18"/>
              </w:rPr>
              <w:t xml:space="preserve">Figure 3 — Why ICEBERG Section Wireframe</w:t>
            </w:r>
          </w:p>
        </w:tc>
      </w:tr>
      <w:tr>
        <w:trPr>
          <w:cantSplit/>
        </w:trPr>
        <w:tc>
          <w:tcPr>
            <w:tcW w:type="pct" w:w="100%"/>
            <w:shd w:fill="FBFBFB" w:val="clear"/>
            <w:tcMar>
              <w:top w:type="dxa" w:w="100"/>
              <w:left w:type="dxa" w:w="140"/>
              <w:bottom w:type="dxa" w:w="100"/>
              <w:right w:type="dxa" w:w="140"/>
            </w:tcMar>
          </w:tcPr>
          <w:p>
            <w:pPr>
              <w:spacing w:after="0" w:line="240"/>
            </w:pPr>
            <w:r>
              <w:rPr>
                <w:rFonts w:ascii="Courier New" w:eastAsia="Courier New"/>
                <w:color w:val="1A2330"/>
                <w:sz w:val="16"/>
                <w:szCs w:val="16"/>
              </w:rPr>
              <w:t xml:space="preserve">┌────────────────────────────────────────────────────────────┐</w:t>
            </w:r>
          </w:p>
          <w:p>
            <w:pPr>
              <w:spacing w:after="0" w:line="240"/>
            </w:pPr>
            <w:r>
              <w:rPr>
                <w:rFonts w:ascii="Courier New" w:eastAsia="Courier New"/>
                <w:color w:val="1A2330"/>
                <w:sz w:val="16"/>
                <w:szCs w:val="16"/>
              </w:rPr>
              <w:t xml:space="preserve">│  H2:  Why ICEBERG for IDEX?                                │</w:t>
            </w:r>
          </w:p>
          <w:p>
            <w:pPr>
              <w:spacing w:after="0" w:line="240"/>
            </w:pPr>
            <w:r>
              <w:rPr>
                <w:rFonts w:ascii="Courier New" w:eastAsia="Courier New"/>
                <w:color w:val="1A2330"/>
                <w:sz w:val="16"/>
                <w:szCs w:val="16"/>
              </w:rPr>
              <w:t xml:space="preserve">│  sub: Five ways we turn event attention into business.     │</w:t>
            </w:r>
          </w:p>
          <w:p>
            <w:pPr>
              <w:spacing w:after="0" w:line="240"/>
            </w:pPr>
            <w:r>
              <w:rPr>
                <w:rFonts w:ascii="Courier New" w:eastAsia="Courier New"/>
                <w:color w:val="1A2330"/>
                <w:sz w:val="16"/>
                <w:szCs w:val="16"/>
              </w:rPr>
              <w:t xml:space="preserve">│                                                            │</w:t>
            </w:r>
          </w:p>
          <w:p>
            <w:pPr>
              <w:spacing w:after="0" w:line="240"/>
            </w:pPr>
            <w:r>
              <w:rPr>
                <w:rFonts w:ascii="Courier New" w:eastAsia="Courier New"/>
                <w:color w:val="1A2330"/>
                <w:sz w:val="16"/>
                <w:szCs w:val="16"/>
              </w:rPr>
              <w:t xml:space="preserve">│  ┌──────────┐ ┌──────────┐ ┌──────────┐ ┌──────────┐ ┌──┐│</w:t>
            </w:r>
          </w:p>
          <w:p>
            <w:pPr>
              <w:spacing w:after="0" w:line="240"/>
            </w:pPr>
            <w:r>
              <w:rPr>
                <w:rFonts w:ascii="Courier New" w:eastAsia="Courier New"/>
                <w:color w:val="1A2330"/>
                <w:sz w:val="16"/>
                <w:szCs w:val="16"/>
              </w:rPr>
              <w:t xml:space="preserve">│  │  icon    │ │  icon    │ │  icon    │ │  icon    │ │  ││</w:t>
            </w:r>
          </w:p>
          <w:p>
            <w:pPr>
              <w:spacing w:after="0" w:line="240"/>
            </w:pPr>
            <w:r>
              <w:rPr>
                <w:rFonts w:ascii="Courier New" w:eastAsia="Courier New"/>
                <w:color w:val="1A2330"/>
                <w:sz w:val="16"/>
                <w:szCs w:val="16"/>
              </w:rPr>
              <w:t xml:space="preserve">│  │  Brand   │ │  Digital │ │ Marketing│ │  Perform │ │  ││</w:t>
            </w:r>
          </w:p>
          <w:p>
            <w:pPr>
              <w:spacing w:after="0" w:line="240"/>
            </w:pPr>
            <w:r>
              <w:rPr>
                <w:rFonts w:ascii="Courier New" w:eastAsia="Courier New"/>
                <w:color w:val="1A2330"/>
                <w:sz w:val="16"/>
                <w:szCs w:val="16"/>
              </w:rPr>
              <w:t xml:space="preserve">│  │  Build a │ │  Create  │ │  Generate│ │  Turn    │ │  ││</w:t>
            </w:r>
          </w:p>
          <w:p>
            <w:pPr>
              <w:spacing w:after="0" w:line="240"/>
            </w:pPr>
            <w:r>
              <w:rPr>
                <w:rFonts w:ascii="Courier New" w:eastAsia="Courier New"/>
                <w:color w:val="1A2330"/>
                <w:sz w:val="16"/>
                <w:szCs w:val="16"/>
              </w:rPr>
              <w:t xml:space="preserve">│  │  stronger│ │  digital │ │  awareness│ │ attention│ ││</w:t>
            </w:r>
          </w:p>
          <w:p>
            <w:pPr>
              <w:spacing w:after="0" w:line="240"/>
            </w:pPr>
            <w:r>
              <w:rPr>
                <w:rFonts w:ascii="Courier New" w:eastAsia="Courier New"/>
                <w:color w:val="1A2330"/>
                <w:sz w:val="16"/>
                <w:szCs w:val="16"/>
              </w:rPr>
              <w:t xml:space="preserve">│  │  market  │ │  infra-  │ │  and     │ │  into    │ │  ││</w:t>
            </w:r>
          </w:p>
          <w:p>
            <w:pPr>
              <w:spacing w:after="0" w:line="240"/>
            </w:pPr>
            <w:r>
              <w:rPr>
                <w:rFonts w:ascii="Courier New" w:eastAsia="Courier New"/>
                <w:color w:val="1A2330"/>
                <w:sz w:val="16"/>
                <w:szCs w:val="16"/>
              </w:rPr>
              <w:t xml:space="preserve">│  │  presence│ │  structure│ │  reach   │ │  leads   │ │  ││</w:t>
            </w:r>
          </w:p>
          <w:p>
            <w:pPr>
              <w:spacing w:after="0" w:line="240"/>
            </w:pPr>
            <w:r>
              <w:rPr>
                <w:rFonts w:ascii="Courier New" w:eastAsia="Courier New"/>
                <w:color w:val="1A2330"/>
                <w:sz w:val="16"/>
                <w:szCs w:val="16"/>
              </w:rPr>
              <w:t xml:space="preserve">│  └──────────┘ └──────────┘ └──────────┘ └──────────┘ └──┘│</w:t>
            </w:r>
          </w:p>
          <w:p>
            <w:pPr>
              <w:spacing w:after="0" w:line="240"/>
            </w:pPr>
            <w:r>
              <w:rPr>
                <w:rFonts w:ascii="Courier New" w:eastAsia="Courier New"/>
                <w:color w:val="1A2330"/>
                <w:sz w:val="16"/>
                <w:szCs w:val="16"/>
              </w:rPr>
              <w:t xml:space="preserve">│  ┌────────────────────────────────────┐                  │</w:t>
            </w:r>
          </w:p>
          <w:p>
            <w:pPr>
              <w:spacing w:after="0" w:line="240"/>
            </w:pPr>
            <w:r>
              <w:rPr>
                <w:rFonts w:ascii="Courier New" w:eastAsia="Courier New"/>
                <w:color w:val="1A2330"/>
                <w:sz w:val="16"/>
                <w:szCs w:val="16"/>
              </w:rPr>
              <w:t xml:space="preserve">│  │  icon  ·  Business Development     │                  │</w:t>
            </w:r>
          </w:p>
          <w:p>
            <w:pPr>
              <w:spacing w:after="0" w:line="240"/>
            </w:pPr>
            <w:r>
              <w:rPr>
                <w:rFonts w:ascii="Courier New" w:eastAsia="Courier New"/>
                <w:color w:val="1A2330"/>
                <w:sz w:val="16"/>
                <w:szCs w:val="16"/>
              </w:rPr>
              <w:t xml:space="preserve">│  │  Transform event exposure into    │                  │</w:t>
            </w:r>
          </w:p>
          <w:p>
            <w:pPr>
              <w:spacing w:after="0" w:line="240"/>
            </w:pPr>
            <w:r>
              <w:rPr>
                <w:rFonts w:ascii="Courier New" w:eastAsia="Courier New"/>
                <w:color w:val="1A2330"/>
                <w:sz w:val="16"/>
                <w:szCs w:val="16"/>
              </w:rPr>
              <w:t xml:space="preserve">│  │  actual business opportunities.    │                  │</w:t>
            </w:r>
          </w:p>
          <w:p>
            <w:pPr>
              <w:spacing w:after="0" w:line="240"/>
            </w:pPr>
            <w:r>
              <w:rPr>
                <w:rFonts w:ascii="Courier New" w:eastAsia="Courier New"/>
                <w:color w:val="1A2330"/>
                <w:sz w:val="16"/>
                <w:szCs w:val="16"/>
              </w:rPr>
              <w:t xml:space="preserve">│  └────────────────────────────────────┘                  │</w:t>
            </w:r>
          </w:p>
          <w:p>
            <w:pPr>
              <w:spacing w:after="0" w:line="240"/>
            </w:pPr>
            <w:r>
              <w:rPr>
                <w:rFonts w:ascii="Courier New" w:eastAsia="Courier New"/>
                <w:color w:val="1A2330"/>
                <w:sz w:val="16"/>
                <w:szCs w:val="16"/>
              </w:rPr>
              <w:t xml:space="preserve">└────────────────────────────────────────────────────────────┘</w:t>
            </w:r>
          </w:p>
        </w:tc>
      </w:tr>
    </w:tbl>
    <w:p>
      <w:pPr>
        <w:pStyle w:val="Heading3"/>
        <w:spacing w:after="100" w:before="220" w:line="312"/>
      </w:pPr>
      <w:bookmarkStart w:id="100021" w:name="_Toc100021"/>
      <w:r>
        <w:rPr>
          <w:rFonts w:ascii="Calibri" w:eastAsia="SimHei"/>
          <w:b/>
          <w:bCs/>
          <w:color w:val="0B1220"/>
          <w:sz w:val="24"/>
          <w:szCs w:val="24"/>
        </w:rPr>
        <w:t xml:space="preserve">Pillar Copy</w:t>
      </w:r>
      <w:bookmarkEnd w:id="100021"/>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tblGrid>
      <w:tr>
        <w:trPr>
          <w:cantSplit/>
          <w:tblHeader/>
        </w:trPr>
        <w:tc>
          <w:tcPr>
            <w:tcW w:type="pct" w:w="25%"/>
            <w:shd w:fill="D4875A" w:val="clear"/>
            <w:tcMar>
              <w:top w:type="dxa" w:w="80"/>
              <w:left w:type="dxa" w:w="120"/>
              <w:bottom w:type="dxa" w:w="80"/>
              <w:right w:type="dxa" w:w="120"/>
            </w:tcMar>
          </w:tcPr>
          <w:p>
            <w:pPr>
              <w:jc w:val="left"/>
            </w:pPr>
            <w:r>
              <w:rPr>
                <w:rFonts w:ascii="Calibri" w:eastAsia="SimHei"/>
                <w:b/>
                <w:bCs/>
                <w:color w:val="FFFFFF"/>
                <w:sz w:val="20"/>
                <w:szCs w:val="20"/>
              </w:rPr>
              <w:t xml:space="preserve">Pillar</w:t>
            </w:r>
          </w:p>
        </w:tc>
        <w:tc>
          <w:tcPr>
            <w:tcW w:type="pct" w:w="75%"/>
            <w:shd w:fill="D4875A" w:val="clear"/>
            <w:tcMar>
              <w:top w:type="dxa" w:w="80"/>
              <w:left w:type="dxa" w:w="120"/>
              <w:bottom w:type="dxa" w:w="80"/>
              <w:right w:type="dxa" w:w="120"/>
            </w:tcMar>
          </w:tcPr>
          <w:p>
            <w:pPr>
              <w:jc w:val="left"/>
            </w:pPr>
            <w:r>
              <w:rPr>
                <w:rFonts w:ascii="Calibri" w:eastAsia="SimHei"/>
                <w:b/>
                <w:bCs/>
                <w:color w:val="FFFFFF"/>
                <w:sz w:val="20"/>
                <w:szCs w:val="20"/>
              </w:rPr>
              <w:t xml:space="preserve">One-line descriptor</w:t>
            </w:r>
          </w:p>
        </w:tc>
      </w:tr>
      <w:tr>
        <w:trPr>
          <w:cantSplit/>
        </w:trPr>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Brand</w:t>
            </w:r>
          </w:p>
        </w:tc>
        <w:tc>
          <w:tcPr>
            <w:tcW w:type="pct" w:w="7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Build a stronger and more professional market presence.</w:t>
            </w:r>
          </w:p>
        </w:tc>
      </w:tr>
      <w:tr>
        <w:trPr>
          <w:cantSplit/>
        </w:trPr>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Digital</w:t>
            </w:r>
          </w:p>
        </w:tc>
        <w:tc>
          <w:tcPr>
            <w:tcW w:type="pct" w:w="7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Create the digital infrastructure supporting your exhibition presence.</w:t>
            </w:r>
          </w:p>
        </w:tc>
      </w:tr>
      <w:tr>
        <w:trPr>
          <w:cantSplit/>
        </w:trPr>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Marketing</w:t>
            </w:r>
          </w:p>
        </w:tc>
        <w:tc>
          <w:tcPr>
            <w:tcW w:type="pct" w:w="7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Generate awareness and reach relevant audiences.</w:t>
            </w:r>
          </w:p>
        </w:tc>
      </w:tr>
      <w:tr>
        <w:trPr>
          <w:cantSplit/>
        </w:trPr>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Performance</w:t>
            </w:r>
          </w:p>
        </w:tc>
        <w:tc>
          <w:tcPr>
            <w:tcW w:type="pct" w:w="7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Turn attention into measurable leads.</w:t>
            </w:r>
          </w:p>
        </w:tc>
      </w:tr>
      <w:tr>
        <w:trPr>
          <w:cantSplit/>
        </w:trPr>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Business Development</w:t>
            </w:r>
          </w:p>
        </w:tc>
        <w:tc>
          <w:tcPr>
            <w:tcW w:type="pct" w:w="7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Transform event exposure into actual business opportunities.</w:t>
            </w:r>
          </w:p>
        </w:tc>
      </w:tr>
    </w:tbl>
    <w:p>
      <w:pPr>
        <w:pStyle w:val="Heading3"/>
        <w:spacing w:after="100" w:before="220" w:line="312"/>
      </w:pPr>
      <w:bookmarkStart w:id="100022" w:name="_Toc100022"/>
      <w:r>
        <w:rPr>
          <w:rFonts w:ascii="Calibri" w:eastAsia="SimHei"/>
          <w:b/>
          <w:bCs/>
          <w:color w:val="0B1220"/>
          <w:sz w:val="24"/>
          <w:szCs w:val="24"/>
        </w:rPr>
        <w:t xml:space="preserve">Components</w:t>
      </w:r>
      <w:bookmarkEnd w:id="100022"/>
    </w:p>
    <w:p>
      <w:pPr>
        <w:pStyle w:val="ListParagraph"/>
        <w:numPr>
          <w:ilvl w:val="0"/>
          <w:numId w:val="1"/>
        </w:numPr>
        <w:spacing w:after="60" w:line="312"/>
      </w:pPr>
      <w:r>
        <w:rPr>
          <w:rFonts w:ascii="Calibri" w:eastAsia="Microsoft YaHei"/>
          <w:color w:val="1A2330"/>
          <w:sz w:val="22"/>
          <w:szCs w:val="22"/>
        </w:rPr>
        <w:t xml:space="preserve">Five pillar cards — equal width on desktop, 2-2-1 grid; on mobile, single column.</w:t>
      </w:r>
    </w:p>
    <w:p>
      <w:pPr>
        <w:pStyle w:val="ListParagraph"/>
        <w:numPr>
          <w:ilvl w:val="0"/>
          <w:numId w:val="1"/>
        </w:numPr>
        <w:spacing w:after="60" w:line="312"/>
      </w:pPr>
      <w:r>
        <w:rPr>
          <w:rFonts w:ascii="Calibri" w:eastAsia="Microsoft YaHei"/>
          <w:color w:val="1A2330"/>
          <w:sz w:val="22"/>
          <w:szCs w:val="22"/>
        </w:rPr>
        <w:t xml:space="preserve">Each card: Material Icon (32px, accent color) + pillar name (H3, 18px bold) + one-line descriptor (14px primary-muted).</w:t>
      </w:r>
    </w:p>
    <w:p>
      <w:pPr>
        <w:pStyle w:val="ListParagraph"/>
        <w:numPr>
          <w:ilvl w:val="0"/>
          <w:numId w:val="1"/>
        </w:numPr>
        <w:spacing w:after="60" w:line="312"/>
      </w:pPr>
      <w:r>
        <w:rPr>
          <w:rFonts w:ascii="Calibri" w:eastAsia="Microsoft YaHei"/>
          <w:color w:val="1A2330"/>
          <w:sz w:val="22"/>
          <w:szCs w:val="22"/>
        </w:rPr>
        <w:t xml:space="preserve">Hover state: card lifts +2px, border shifts from default to accent, icon scales to 1.1×.</w:t>
      </w:r>
    </w:p>
    <w:p>
      <w:pPr>
        <w:pStyle w:val="ListParagraph"/>
        <w:numPr>
          <w:ilvl w:val="0"/>
          <w:numId w:val="1"/>
        </w:numPr>
        <w:spacing w:after="60" w:line="312"/>
      </w:pPr>
      <w:r>
        <w:rPr>
          <w:rFonts w:ascii="Calibri" w:eastAsia="Microsoft YaHei"/>
          <w:color w:val="1A2330"/>
          <w:sz w:val="22"/>
          <w:szCs w:val="22"/>
        </w:rPr>
        <w:t xml:space="preserve">Card 5 (Business Development) spans full width on desktop, distinguishing it as the strategic pillar.</w:t>
      </w:r>
    </w:p>
    <w:p>
      <w:pPr>
        <w:pStyle w:val="Heading3"/>
        <w:spacing w:after="100" w:before="220" w:line="312"/>
      </w:pPr>
      <w:bookmarkStart w:id="100023" w:name="_Toc100023"/>
      <w:r>
        <w:rPr>
          <w:rFonts w:ascii="Calibri" w:eastAsia="SimHei"/>
          <w:b/>
          <w:bCs/>
          <w:color w:val="0B1220"/>
          <w:sz w:val="24"/>
          <w:szCs w:val="24"/>
        </w:rPr>
        <w:t xml:space="preserve">Acceptance Criteria</w:t>
      </w:r>
      <w:bookmarkEnd w:id="100023"/>
    </w:p>
    <w:p>
      <w:pPr>
        <w:pStyle w:val="ListParagraph"/>
        <w:numPr>
          <w:ilvl w:val="0"/>
          <w:numId w:val="1"/>
        </w:numPr>
        <w:spacing w:after="60" w:line="312"/>
      </w:pPr>
      <w:r>
        <w:rPr>
          <w:rFonts w:ascii="Calibri" w:eastAsia="Microsoft YaHei"/>
          <w:color w:val="1A2330"/>
          <w:sz w:val="22"/>
          <w:szCs w:val="22"/>
        </w:rPr>
        <w:t xml:space="preserve">All five pillars visible without scrolling on 1080p desktop after Hero.</w:t>
      </w:r>
    </w:p>
    <w:p>
      <w:pPr>
        <w:pStyle w:val="ListParagraph"/>
        <w:numPr>
          <w:ilvl w:val="0"/>
          <w:numId w:val="1"/>
        </w:numPr>
        <w:spacing w:after="60" w:line="312"/>
      </w:pPr>
      <w:r>
        <w:rPr>
          <w:rFonts w:ascii="Calibri" w:eastAsia="Microsoft YaHei"/>
          <w:color w:val="1A2330"/>
          <w:sz w:val="22"/>
          <w:szCs w:val="22"/>
        </w:rPr>
        <w:t xml:space="preserve">On tablet (768px), pillars display in a 2×3 grid with the 5th spanning full width.</w:t>
      </w:r>
    </w:p>
    <w:p>
      <w:pPr>
        <w:pStyle w:val="ListParagraph"/>
        <w:numPr>
          <w:ilvl w:val="0"/>
          <w:numId w:val="1"/>
        </w:numPr>
        <w:spacing w:after="60" w:line="312"/>
      </w:pPr>
      <w:r>
        <w:rPr>
          <w:rFonts w:ascii="Calibri" w:eastAsia="Microsoft YaHei"/>
          <w:color w:val="1A2330"/>
          <w:sz w:val="22"/>
          <w:szCs w:val="22"/>
        </w:rPr>
        <w:t xml:space="preserve">Each pillar card is keyboard-focusable; tab order follows visual order.</w:t>
      </w:r>
    </w:p>
    <w:p>
      <w:pPr>
        <w:pStyle w:val="Heading2"/>
        <w:spacing w:after="120" w:before="280" w:line="312"/>
      </w:pPr>
      <w:bookmarkStart w:id="100024" w:name="_Toc100024"/>
      <w:r>
        <w:rPr>
          <w:rFonts w:ascii="Calibri" w:eastAsia="SimHei"/>
          <w:b/>
          <w:bCs/>
          <w:color w:val="0B1220"/>
          <w:sz w:val="28"/>
          <w:szCs w:val="28"/>
        </w:rPr>
        <w:t xml:space="preserve">3.3 Section 03 — ICEBERG IDEX Services</w:t>
      </w:r>
      <w:bookmarkEnd w:id="100024"/>
    </w:p>
    <w:p>
      <w:pPr>
        <w:pStyle w:val="Heading3"/>
        <w:spacing w:after="100" w:before="220" w:line="312"/>
      </w:pPr>
      <w:bookmarkStart w:id="100025" w:name="_Toc100025"/>
      <w:r>
        <w:rPr>
          <w:rFonts w:ascii="Calibri" w:eastAsia="SimHei"/>
          <w:b/>
          <w:bCs/>
          <w:color w:val="0B1220"/>
          <w:sz w:val="24"/>
          <w:szCs w:val="24"/>
        </w:rPr>
        <w:t xml:space="preserve">Purpose</w:t>
      </w:r>
      <w:bookmarkEnd w:id="100025"/>
    </w:p>
    <w:p>
      <w:pPr>
        <w:spacing w:after="100" w:line="312"/>
        <w:ind w:firstLine="0"/>
        <w:jc w:val="both"/>
      </w:pPr>
      <w:r>
        <w:rPr>
          <w:rFonts w:ascii="Calibri" w:eastAsia="Microsoft YaHei"/>
          <w:color w:val="1A2330"/>
          <w:sz w:val="22"/>
          <w:szCs w:val="22"/>
        </w:rPr>
        <w:t xml:space="preserve">Catalog the five service capabilities ICEBERG offers to IDEX exhibitors. Each service is paired with a concrete outcome so visitors can map their need to a specific offering. This section feeds directly into the 3-Month Package (Section 04) — the package is composed of these services.</w:t>
      </w:r>
    </w:p>
    <w:p>
      <w:pPr>
        <w:pStyle w:val="Heading3"/>
        <w:spacing w:after="100" w:before="220" w:line="312"/>
      </w:pPr>
      <w:bookmarkStart w:id="100026" w:name="_Toc100026"/>
      <w:r>
        <w:rPr>
          <w:rFonts w:ascii="Calibri" w:eastAsia="SimHei"/>
          <w:b/>
          <w:bCs/>
          <w:color w:val="0B1220"/>
          <w:sz w:val="24"/>
          <w:szCs w:val="24"/>
        </w:rPr>
        <w:t xml:space="preserve">Wireframe</w:t>
      </w:r>
      <w:bookmarkEnd w:id="100026"/>
    </w:p>
    <w:tbl>
      <w:tblPr>
        <w:tblW w:type="pct" w:w="100%"/>
        <w:tblBorders>
          <w:top w:val="single" w:color="D4875A" w:sz="2"/>
          <w:left w:val="none"/>
          <w:bottom w:val="single" w:color="D4875A" w:sz="2"/>
          <w:right w:val="none"/>
          <w:insideH w:val="single" w:color="DDD0C8" w:sz="1"/>
          <w:insideV w:val="none"/>
        </w:tblBorders>
        <w:tblLayout w:type="fixed"/>
      </w:tblPr>
      <w:tblGrid>
        <w:gridCol w:w="100"/>
      </w:tblGrid>
      <w:tr>
        <w:trPr>
          <w:cantSplit/>
          <w:tblHeader/>
        </w:trPr>
        <w:tc>
          <w:tcPr>
            <w:tcW w:type="pct" w:w="100%"/>
            <w:shd w:fill="D4875A" w:val="clear"/>
            <w:tcMar>
              <w:top w:type="dxa" w:w="60"/>
              <w:left w:type="dxa" w:w="120"/>
              <w:bottom w:type="dxa" w:w="60"/>
              <w:right w:type="dxa" w:w="120"/>
            </w:tcMar>
          </w:tcPr>
          <w:p>
            <w:r>
              <w:rPr>
                <w:rFonts w:ascii="Calibri" w:eastAsia="SimHei"/>
                <w:b/>
                <w:bCs/>
                <w:color w:val="FFFFFF"/>
                <w:sz w:val="18"/>
                <w:szCs w:val="18"/>
              </w:rPr>
              <w:t xml:space="preserve">Figure 4 — Services Section Wireframe</w:t>
            </w:r>
          </w:p>
        </w:tc>
      </w:tr>
      <w:tr>
        <w:trPr>
          <w:cantSplit/>
        </w:trPr>
        <w:tc>
          <w:tcPr>
            <w:tcW w:type="pct" w:w="100%"/>
            <w:shd w:fill="FBFBFB" w:val="clear"/>
            <w:tcMar>
              <w:top w:type="dxa" w:w="100"/>
              <w:left w:type="dxa" w:w="140"/>
              <w:bottom w:type="dxa" w:w="100"/>
              <w:right w:type="dxa" w:w="140"/>
            </w:tcMar>
          </w:tcPr>
          <w:p>
            <w:pPr>
              <w:spacing w:after="0" w:line="240"/>
            </w:pPr>
            <w:r>
              <w:rPr>
                <w:rFonts w:ascii="Courier New" w:eastAsia="Courier New"/>
                <w:color w:val="1A2330"/>
                <w:sz w:val="16"/>
                <w:szCs w:val="16"/>
              </w:rPr>
              <w:t xml:space="preserve">┌────────────────────────────────────────────────────────────┐</w:t>
            </w:r>
          </w:p>
          <w:p>
            <w:pPr>
              <w:spacing w:after="0" w:line="240"/>
            </w:pPr>
            <w:r>
              <w:rPr>
                <w:rFonts w:ascii="Courier New" w:eastAsia="Courier New"/>
                <w:color w:val="1A2330"/>
                <w:sz w:val="16"/>
                <w:szCs w:val="16"/>
              </w:rPr>
              <w:t xml:space="preserve">│  H2:  ICEBERG IDEX Services                               │</w:t>
            </w:r>
          </w:p>
          <w:p>
            <w:pPr>
              <w:spacing w:after="0" w:line="240"/>
            </w:pPr>
            <w:r>
              <w:rPr>
                <w:rFonts w:ascii="Courier New" w:eastAsia="Courier New"/>
                <w:color w:val="1A2330"/>
                <w:sz w:val="16"/>
                <w:szCs w:val="16"/>
              </w:rPr>
              <w:t xml:space="preserve">│  sub: Five services. One standard of execution.           │</w:t>
            </w:r>
          </w:p>
          <w:p>
            <w:pPr>
              <w:spacing w:after="0" w:line="240"/>
            </w:pPr>
            <w:r>
              <w:rPr>
                <w:rFonts w:ascii="Courier New" w:eastAsia="Courier New"/>
                <w:color w:val="1A2330"/>
                <w:sz w:val="16"/>
                <w:szCs w:val="16"/>
              </w:rPr>
              <w:t xml:space="preserve">│                                                            │</w:t>
            </w:r>
          </w:p>
          <w:p>
            <w:pPr>
              <w:spacing w:after="0" w:line="240"/>
            </w:pPr>
            <w:r>
              <w:rPr>
                <w:rFonts w:ascii="Courier New" w:eastAsia="Courier New"/>
                <w:color w:val="1A2330"/>
                <w:sz w:val="16"/>
                <w:szCs w:val="16"/>
              </w:rPr>
              <w:t xml:space="preserve">│  ┌──────────┐ ┌──────────┐ ┌──────────┐ ┌──────────┐ ┌──┐│</w:t>
            </w:r>
          </w:p>
          <w:p>
            <w:pPr>
              <w:spacing w:after="0" w:line="240"/>
            </w:pPr>
            <w:r>
              <w:rPr>
                <w:rFonts w:ascii="Courier New" w:eastAsia="Courier New"/>
                <w:color w:val="1A2330"/>
                <w:sz w:val="16"/>
                <w:szCs w:val="16"/>
              </w:rPr>
              <w:t xml:space="preserve">│  │ palette  │ │ print    │ │ campaign │ │ language │ │  ││</w:t>
            </w:r>
          </w:p>
          <w:p>
            <w:pPr>
              <w:spacing w:after="0" w:line="240"/>
            </w:pPr>
            <w:r>
              <w:rPr>
                <w:rFonts w:ascii="Courier New" w:eastAsia="Courier New"/>
                <w:color w:val="1A2330"/>
                <w:sz w:val="16"/>
                <w:szCs w:val="16"/>
              </w:rPr>
              <w:t xml:space="preserve">│  │ Rebrand  │ │ Printing │ │ Media    │ │ Website  │ │  ││</w:t>
            </w:r>
          </w:p>
          <w:p>
            <w:pPr>
              <w:spacing w:after="0" w:line="240"/>
            </w:pPr>
            <w:r>
              <w:rPr>
                <w:rFonts w:ascii="Courier New" w:eastAsia="Courier New"/>
                <w:color w:val="1A2330"/>
                <w:sz w:val="16"/>
                <w:szCs w:val="16"/>
              </w:rPr>
              <w:t xml:space="preserve">│  │ -ing     │ │          │ │ Buying   │ │ Services │ │  ││</w:t>
            </w:r>
          </w:p>
          <w:p>
            <w:pPr>
              <w:spacing w:after="0" w:line="240"/>
            </w:pPr>
            <w:r>
              <w:rPr>
                <w:rFonts w:ascii="Courier New" w:eastAsia="Courier New"/>
                <w:color w:val="1A2330"/>
                <w:sz w:val="16"/>
                <w:szCs w:val="16"/>
              </w:rPr>
              <w:t xml:space="preserve">│  │          │ │          │ │          │ │          │ │  ││</w:t>
            </w:r>
          </w:p>
          <w:p>
            <w:pPr>
              <w:spacing w:after="0" w:line="240"/>
            </w:pPr>
            <w:r>
              <w:rPr>
                <w:rFonts w:ascii="Courier New" w:eastAsia="Courier New"/>
                <w:color w:val="1A2330"/>
                <w:sz w:val="16"/>
                <w:szCs w:val="16"/>
              </w:rPr>
              <w:t xml:space="preserve">│  │ Strengthen│ │ Create   │ │ Reach    │ │ Build or │ │  ││</w:t>
            </w:r>
          </w:p>
          <w:p>
            <w:pPr>
              <w:spacing w:after="0" w:line="240"/>
            </w:pPr>
            <w:r>
              <w:rPr>
                <w:rFonts w:ascii="Courier New" w:eastAsia="Courier New"/>
                <w:color w:val="1A2330"/>
                <w:sz w:val="16"/>
                <w:szCs w:val="16"/>
              </w:rPr>
              <w:t xml:space="preserve">│  │ brand     │ │ profess- │ │ relevant │ │ optimize │ │  ││</w:t>
            </w:r>
          </w:p>
          <w:p>
            <w:pPr>
              <w:spacing w:after="0" w:line="240"/>
            </w:pPr>
            <w:r>
              <w:rPr>
                <w:rFonts w:ascii="Courier New" w:eastAsia="Courier New"/>
                <w:color w:val="1A2330"/>
                <w:sz w:val="16"/>
                <w:szCs w:val="16"/>
              </w:rPr>
              <w:t xml:space="preserve">│  │ position- │ │ ional    │ │ audiences│ │ digital  │ │  ││</w:t>
            </w:r>
          </w:p>
          <w:p>
            <w:pPr>
              <w:spacing w:after="0" w:line="240"/>
            </w:pPr>
            <w:r>
              <w:rPr>
                <w:rFonts w:ascii="Courier New" w:eastAsia="Courier New"/>
                <w:color w:val="1A2330"/>
                <w:sz w:val="16"/>
                <w:szCs w:val="16"/>
              </w:rPr>
              <w:t xml:space="preserve">│  │ ing &amp;     │ │ physical │ │ &amp; decision│ │ presence │ │  ││</w:t>
            </w:r>
          </w:p>
          <w:p>
            <w:pPr>
              <w:spacing w:after="0" w:line="240"/>
            </w:pPr>
            <w:r>
              <w:rPr>
                <w:rFonts w:ascii="Courier New" w:eastAsia="Courier New"/>
                <w:color w:val="1A2330"/>
                <w:sz w:val="16"/>
                <w:szCs w:val="16"/>
              </w:rPr>
              <w:t xml:space="preserve">│  │ visual    │ │ materials│ │ -makers  │ │          │ │  ││</w:t>
            </w:r>
          </w:p>
          <w:p>
            <w:pPr>
              <w:spacing w:after="0" w:line="240"/>
            </w:pPr>
            <w:r>
              <w:rPr>
                <w:rFonts w:ascii="Courier New" w:eastAsia="Courier New"/>
                <w:color w:val="1A2330"/>
                <w:sz w:val="16"/>
                <w:szCs w:val="16"/>
              </w:rPr>
              <w:t xml:space="preserve">│  │ identity  │ │          │ │          │ │          │ │  ││</w:t>
            </w:r>
          </w:p>
          <w:p>
            <w:pPr>
              <w:spacing w:after="0" w:line="240"/>
            </w:pPr>
            <w:r>
              <w:rPr>
                <w:rFonts w:ascii="Courier New" w:eastAsia="Courier New"/>
                <w:color w:val="1A2330"/>
                <w:sz w:val="16"/>
                <w:szCs w:val="16"/>
              </w:rPr>
              <w:t xml:space="preserve">│  └──────────┘ └──────────┘ └──────────┘ └──────────┘ └──┘│</w:t>
            </w:r>
          </w:p>
          <w:p>
            <w:pPr>
              <w:spacing w:after="0" w:line="240"/>
            </w:pPr>
            <w:r>
              <w:rPr>
                <w:rFonts w:ascii="Courier New" w:eastAsia="Courier New"/>
                <w:color w:val="1A2330"/>
                <w:sz w:val="16"/>
                <w:szCs w:val="16"/>
              </w:rPr>
              <w:t xml:space="preserve">│  ┌──────────────────────────────────────────────────────┐ │</w:t>
            </w:r>
          </w:p>
          <w:p>
            <w:pPr>
              <w:spacing w:after="0" w:line="240"/>
            </w:pPr>
            <w:r>
              <w:rPr>
                <w:rFonts w:ascii="Courier New" w:eastAsia="Courier New"/>
                <w:color w:val="1A2330"/>
                <w:sz w:val="16"/>
                <w:szCs w:val="16"/>
              </w:rPr>
              <w:t xml:space="preserve">│  │  trending_up · Business Development &amp; Consulting     │ │</w:t>
            </w:r>
          </w:p>
          <w:p>
            <w:pPr>
              <w:spacing w:after="0" w:line="240"/>
            </w:pPr>
            <w:r>
              <w:rPr>
                <w:rFonts w:ascii="Courier New" w:eastAsia="Courier New"/>
                <w:color w:val="1A2330"/>
                <w:sz w:val="16"/>
                <w:szCs w:val="16"/>
              </w:rPr>
              <w:t xml:space="preserve">│  │  Identify opportunities and convert them into        │ │</w:t>
            </w:r>
          </w:p>
          <w:p>
            <w:pPr>
              <w:spacing w:after="0" w:line="240"/>
            </w:pPr>
            <w:r>
              <w:rPr>
                <w:rFonts w:ascii="Courier New" w:eastAsia="Courier New"/>
                <w:color w:val="1A2330"/>
                <w:sz w:val="16"/>
                <w:szCs w:val="16"/>
              </w:rPr>
              <w:t xml:space="preserve">│  │  business relationships.                              │ │</w:t>
            </w:r>
          </w:p>
          <w:p>
            <w:pPr>
              <w:spacing w:after="0" w:line="240"/>
            </w:pPr>
            <w:r>
              <w:rPr>
                <w:rFonts w:ascii="Courier New" w:eastAsia="Courier New"/>
                <w:color w:val="1A2330"/>
                <w:sz w:val="16"/>
                <w:szCs w:val="16"/>
              </w:rPr>
              <w:t xml:space="preserve">│  └──────────────────────────────────────────────────────┘ │</w:t>
            </w:r>
          </w:p>
          <w:p>
            <w:pPr>
              <w:spacing w:after="0" w:line="240"/>
            </w:pPr>
            <w:r>
              <w:rPr>
                <w:rFonts w:ascii="Courier New" w:eastAsia="Courier New"/>
                <w:color w:val="1A2330"/>
                <w:sz w:val="16"/>
                <w:szCs w:val="16"/>
              </w:rPr>
              <w:t xml:space="preserve">└────────────────────────────────────────────────────────────┘</w:t>
            </w:r>
          </w:p>
        </w:tc>
      </w:tr>
    </w:tbl>
    <w:p>
      <w:pPr>
        <w:pStyle w:val="Heading3"/>
        <w:spacing w:after="100" w:before="220" w:line="312"/>
      </w:pPr>
      <w:bookmarkStart w:id="100027" w:name="_Toc100027"/>
      <w:r>
        <w:rPr>
          <w:rFonts w:ascii="Calibri" w:eastAsia="SimHei"/>
          <w:b/>
          <w:bCs/>
          <w:color w:val="0B1220"/>
          <w:sz w:val="24"/>
          <w:szCs w:val="24"/>
        </w:rPr>
        <w:t xml:space="preserve">Service Copy</w:t>
      </w:r>
      <w:bookmarkEnd w:id="100027"/>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gridCol w:w="100"/>
      </w:tblGrid>
      <w:tr>
        <w:trPr>
          <w:cantSplit/>
          <w:tblHeader/>
        </w:trPr>
        <w:tc>
          <w:tcPr>
            <w:tcW w:type="pct" w:w="25%"/>
            <w:shd w:fill="D4875A" w:val="clear"/>
            <w:tcMar>
              <w:top w:type="dxa" w:w="80"/>
              <w:left w:type="dxa" w:w="120"/>
              <w:bottom w:type="dxa" w:w="80"/>
              <w:right w:type="dxa" w:w="120"/>
            </w:tcMar>
          </w:tcPr>
          <w:p>
            <w:pPr>
              <w:jc w:val="left"/>
            </w:pPr>
            <w:r>
              <w:rPr>
                <w:rFonts w:ascii="Calibri" w:eastAsia="SimHei"/>
                <w:b/>
                <w:bCs/>
                <w:color w:val="FFFFFF"/>
                <w:sz w:val="20"/>
                <w:szCs w:val="20"/>
              </w:rPr>
              <w:t xml:space="preserve">Service</w:t>
            </w:r>
          </w:p>
        </w:tc>
        <w:tc>
          <w:tcPr>
            <w:tcW w:type="pct" w:w="60%"/>
            <w:shd w:fill="D4875A" w:val="clear"/>
            <w:tcMar>
              <w:top w:type="dxa" w:w="80"/>
              <w:left w:type="dxa" w:w="120"/>
              <w:bottom w:type="dxa" w:w="80"/>
              <w:right w:type="dxa" w:w="120"/>
            </w:tcMar>
          </w:tcPr>
          <w:p>
            <w:pPr>
              <w:jc w:val="left"/>
            </w:pPr>
            <w:r>
              <w:rPr>
                <w:rFonts w:ascii="Calibri" w:eastAsia="SimHei"/>
                <w:b/>
                <w:bCs/>
                <w:color w:val="FFFFFF"/>
                <w:sz w:val="20"/>
                <w:szCs w:val="20"/>
              </w:rPr>
              <w:t xml:space="preserve">One-line descriptor</w:t>
            </w:r>
          </w:p>
        </w:tc>
        <w:tc>
          <w:tcPr>
            <w:tcW w:type="pct" w:w="15%"/>
            <w:shd w:fill="D4875A" w:val="clear"/>
            <w:tcMar>
              <w:top w:type="dxa" w:w="80"/>
              <w:left w:type="dxa" w:w="120"/>
              <w:bottom w:type="dxa" w:w="80"/>
              <w:right w:type="dxa" w:w="120"/>
            </w:tcMar>
          </w:tcPr>
          <w:p>
            <w:pPr>
              <w:jc w:val="left"/>
            </w:pPr>
            <w:r>
              <w:rPr>
                <w:rFonts w:ascii="Calibri" w:eastAsia="SimHei"/>
                <w:b/>
                <w:bCs/>
                <w:color w:val="FFFFFF"/>
                <w:sz w:val="20"/>
                <w:szCs w:val="20"/>
              </w:rPr>
              <w:t xml:space="preserve">Material Icon</w:t>
            </w:r>
          </w:p>
        </w:tc>
      </w:tr>
      <w:tr>
        <w:trPr>
          <w:cantSplit/>
        </w:trPr>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Rebranding</w:t>
            </w:r>
          </w:p>
        </w:tc>
        <w:tc>
          <w:tcPr>
            <w:tcW w:type="pct" w:w="6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Strengthen your brand positioning and visual identity.</w:t>
            </w:r>
          </w:p>
        </w:tc>
        <w:tc>
          <w:tcPr>
            <w:tcW w:type="pct" w:w="1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palette</w:t>
            </w:r>
          </w:p>
        </w:tc>
      </w:tr>
      <w:tr>
        <w:trPr>
          <w:cantSplit/>
        </w:trPr>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Printing</w:t>
            </w:r>
          </w:p>
        </w:tc>
        <w:tc>
          <w:tcPr>
            <w:tcW w:type="pct" w:w="6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Create professional physical materials for your exhibition presence.</w:t>
            </w:r>
          </w:p>
        </w:tc>
        <w:tc>
          <w:tcPr>
            <w:tcW w:type="pct" w:w="1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print</w:t>
            </w:r>
          </w:p>
        </w:tc>
      </w:tr>
      <w:tr>
        <w:trPr>
          <w:cantSplit/>
        </w:trPr>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Media Buying</w:t>
            </w:r>
          </w:p>
        </w:tc>
        <w:tc>
          <w:tcPr>
            <w:tcW w:type="pct" w:w="6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Reach relevant audiences and decision-makers.</w:t>
            </w:r>
          </w:p>
        </w:tc>
        <w:tc>
          <w:tcPr>
            <w:tcW w:type="pct" w:w="1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campaign</w:t>
            </w:r>
          </w:p>
        </w:tc>
      </w:tr>
      <w:tr>
        <w:trPr>
          <w:cantSplit/>
        </w:trPr>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Website Services</w:t>
            </w:r>
          </w:p>
        </w:tc>
        <w:tc>
          <w:tcPr>
            <w:tcW w:type="pct" w:w="6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Build or optimize your digital presence.</w:t>
            </w:r>
          </w:p>
        </w:tc>
        <w:tc>
          <w:tcPr>
            <w:tcW w:type="pct" w:w="1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language</w:t>
            </w:r>
          </w:p>
        </w:tc>
      </w:tr>
      <w:tr>
        <w:trPr>
          <w:cantSplit/>
        </w:trPr>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Business Development &amp; Consulting</w:t>
            </w:r>
          </w:p>
        </w:tc>
        <w:tc>
          <w:tcPr>
            <w:tcW w:type="pct" w:w="6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Identify opportunities and convert them into business relationships.</w:t>
            </w:r>
          </w:p>
        </w:tc>
        <w:tc>
          <w:tcPr>
            <w:tcW w:type="pct" w:w="1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trending_up</w:t>
            </w:r>
          </w:p>
        </w:tc>
      </w:tr>
    </w:tbl>
    <w:p>
      <w:pPr>
        <w:pStyle w:val="Heading3"/>
        <w:spacing w:after="100" w:before="220" w:line="312"/>
      </w:pPr>
      <w:bookmarkStart w:id="100028" w:name="_Toc100028"/>
      <w:r>
        <w:rPr>
          <w:rFonts w:ascii="Calibri" w:eastAsia="SimHei"/>
          <w:b/>
          <w:bCs/>
          <w:color w:val="0B1220"/>
          <w:sz w:val="24"/>
          <w:szCs w:val="24"/>
        </w:rPr>
        <w:t xml:space="preserve">Behavior</w:t>
      </w:r>
      <w:bookmarkEnd w:id="100028"/>
    </w:p>
    <w:p>
      <w:pPr>
        <w:pStyle w:val="ListParagraph"/>
        <w:numPr>
          <w:ilvl w:val="0"/>
          <w:numId w:val="1"/>
        </w:numPr>
        <w:spacing w:after="60" w:line="312"/>
      </w:pPr>
      <w:r>
        <w:rPr>
          <w:rFonts w:ascii="Calibri" w:eastAsia="Microsoft YaHei"/>
          <w:color w:val="1A2330"/>
          <w:sz w:val="22"/>
          <w:szCs w:val="22"/>
        </w:rPr>
        <w:t xml:space="preserve">Each service card click → opens a modal with extended service description (sourced from CMS). Modal close returns user to original scroll position.</w:t>
      </w:r>
    </w:p>
    <w:p>
      <w:pPr>
        <w:pStyle w:val="ListParagraph"/>
        <w:numPr>
          <w:ilvl w:val="0"/>
          <w:numId w:val="1"/>
        </w:numPr>
        <w:spacing w:after="60" w:line="312"/>
      </w:pPr>
      <w:r>
        <w:rPr>
          <w:rFonts w:ascii="Calibri" w:eastAsia="Microsoft YaHei"/>
          <w:color w:val="1A2330"/>
          <w:sz w:val="22"/>
          <w:szCs w:val="22"/>
        </w:rPr>
        <w:t xml:space="preserve">Cards have a subtle "Learn more" link in the bottom-right corner — accessible on keyboard via Tab.</w:t>
      </w:r>
    </w:p>
    <w:p>
      <w:pPr>
        <w:pStyle w:val="Heading3"/>
        <w:spacing w:after="100" w:before="220" w:line="312"/>
      </w:pPr>
      <w:bookmarkStart w:id="100029" w:name="_Toc100029"/>
      <w:r>
        <w:rPr>
          <w:rFonts w:ascii="Calibri" w:eastAsia="SimHei"/>
          <w:b/>
          <w:bCs/>
          <w:color w:val="0B1220"/>
          <w:sz w:val="24"/>
          <w:szCs w:val="24"/>
        </w:rPr>
        <w:t xml:space="preserve">Acceptance Criteria</w:t>
      </w:r>
      <w:bookmarkEnd w:id="100029"/>
    </w:p>
    <w:p>
      <w:pPr>
        <w:pStyle w:val="ListParagraph"/>
        <w:numPr>
          <w:ilvl w:val="0"/>
          <w:numId w:val="1"/>
        </w:numPr>
        <w:spacing w:after="60" w:line="312"/>
      </w:pPr>
      <w:r>
        <w:rPr>
          <w:rFonts w:ascii="Calibri" w:eastAsia="Microsoft YaHei"/>
          <w:color w:val="1A2330"/>
          <w:sz w:val="22"/>
          <w:szCs w:val="22"/>
        </w:rPr>
        <w:t xml:space="preserve">Service cards align in a single row at 1280px; wrap to 2-2-1 at 1024px; single column at 768px and below.</w:t>
      </w:r>
    </w:p>
    <w:p>
      <w:pPr>
        <w:pStyle w:val="ListParagraph"/>
        <w:numPr>
          <w:ilvl w:val="0"/>
          <w:numId w:val="1"/>
        </w:numPr>
        <w:spacing w:after="60" w:line="312"/>
      </w:pPr>
      <w:r>
        <w:rPr>
          <w:rFonts w:ascii="Calibri" w:eastAsia="Microsoft YaHei"/>
          <w:color w:val="1A2330"/>
          <w:sz w:val="22"/>
          <w:szCs w:val="22"/>
        </w:rPr>
        <w:t xml:space="preserve">Modal traps focus when open and restores focus to the originating card on close (a11y requirement).</w:t>
      </w:r>
    </w:p>
    <w:p>
      <w:pPr>
        <w:pStyle w:val="Heading2"/>
        <w:spacing w:after="120" w:before="280" w:line="312"/>
      </w:pPr>
      <w:bookmarkStart w:id="100030" w:name="_Toc100030"/>
      <w:r>
        <w:rPr>
          <w:rFonts w:ascii="Calibri" w:eastAsia="SimHei"/>
          <w:b/>
          <w:bCs/>
          <w:color w:val="0B1220"/>
          <w:sz w:val="28"/>
          <w:szCs w:val="28"/>
        </w:rPr>
        <w:t xml:space="preserve">3.4 Section 04 — IDEX 3-Month Package</w:t>
      </w:r>
      <w:bookmarkEnd w:id="100030"/>
    </w:p>
    <w:p>
      <w:pPr>
        <w:pStyle w:val="Heading3"/>
        <w:spacing w:after="100" w:before="220" w:line="312"/>
      </w:pPr>
      <w:bookmarkStart w:id="100031" w:name="_Toc100031"/>
      <w:r>
        <w:rPr>
          <w:rFonts w:ascii="Calibri" w:eastAsia="SimHei"/>
          <w:b/>
          <w:bCs/>
          <w:color w:val="0B1220"/>
          <w:sz w:val="24"/>
          <w:szCs w:val="24"/>
        </w:rPr>
        <w:t xml:space="preserve">Purpose</w:t>
      </w:r>
      <w:bookmarkEnd w:id="100031"/>
    </w:p>
    <w:p>
      <w:pPr>
        <w:spacing w:after="100" w:line="312"/>
        <w:ind w:firstLine="0"/>
        <w:jc w:val="both"/>
      </w:pPr>
      <w:r>
        <w:rPr>
          <w:rFonts w:ascii="Calibri" w:eastAsia="Microsoft YaHei"/>
          <w:color w:val="1A2330"/>
          <w:sz w:val="22"/>
          <w:szCs w:val="22"/>
        </w:rPr>
        <w:t xml:space="preserve">This is the primary conversion section. The 3-Month Package is the commercial offer ICEBERG is taking to IDEX. The section must visually distinguish the promotional offers from the standard package, and make the August deadline unmistakable. Pricing is shown as placeholders in this spec — final figures must be approved before publication.</w:t>
      </w:r>
    </w:p>
    <w:p>
      <w:pPr>
        <w:pStyle w:val="Heading3"/>
        <w:spacing w:after="100" w:before="220" w:line="312"/>
      </w:pPr>
      <w:bookmarkStart w:id="100032" w:name="_Toc100032"/>
      <w:r>
        <w:rPr>
          <w:rFonts w:ascii="Calibri" w:eastAsia="SimHei"/>
          <w:b/>
          <w:bCs/>
          <w:color w:val="0B1220"/>
          <w:sz w:val="24"/>
          <w:szCs w:val="24"/>
        </w:rPr>
        <w:t xml:space="preserve">Wireframe</w:t>
      </w:r>
      <w:bookmarkEnd w:id="100032"/>
    </w:p>
    <w:tbl>
      <w:tblPr>
        <w:tblW w:type="pct" w:w="100%"/>
        <w:tblBorders>
          <w:top w:val="single" w:color="D4875A" w:sz="2"/>
          <w:left w:val="none"/>
          <w:bottom w:val="single" w:color="D4875A" w:sz="2"/>
          <w:right w:val="none"/>
          <w:insideH w:val="single" w:color="DDD0C8" w:sz="1"/>
          <w:insideV w:val="none"/>
        </w:tblBorders>
        <w:tblLayout w:type="fixed"/>
      </w:tblPr>
      <w:tblGrid>
        <w:gridCol w:w="100"/>
      </w:tblGrid>
      <w:tr>
        <w:trPr>
          <w:cantSplit/>
          <w:tblHeader/>
        </w:trPr>
        <w:tc>
          <w:tcPr>
            <w:tcW w:type="pct" w:w="100%"/>
            <w:shd w:fill="D4875A" w:val="clear"/>
            <w:tcMar>
              <w:top w:type="dxa" w:w="60"/>
              <w:left w:type="dxa" w:w="120"/>
              <w:bottom w:type="dxa" w:w="60"/>
              <w:right w:type="dxa" w:w="120"/>
            </w:tcMar>
          </w:tcPr>
          <w:p>
            <w:r>
              <w:rPr>
                <w:rFonts w:ascii="Calibri" w:eastAsia="SimHei"/>
                <w:b/>
                <w:bCs/>
                <w:color w:val="FFFFFF"/>
                <w:sz w:val="18"/>
                <w:szCs w:val="18"/>
              </w:rPr>
              <w:t xml:space="preserve">Figure 5 — 3-Month Package Section Wireframe</w:t>
            </w:r>
          </w:p>
        </w:tc>
      </w:tr>
      <w:tr>
        <w:trPr>
          <w:cantSplit/>
        </w:trPr>
        <w:tc>
          <w:tcPr>
            <w:tcW w:type="pct" w:w="100%"/>
            <w:shd w:fill="FBFBFB" w:val="clear"/>
            <w:tcMar>
              <w:top w:type="dxa" w:w="100"/>
              <w:left w:type="dxa" w:w="140"/>
              <w:bottom w:type="dxa" w:w="100"/>
              <w:right w:type="dxa" w:w="140"/>
            </w:tcMar>
          </w:tcPr>
          <w:p>
            <w:pPr>
              <w:spacing w:after="0" w:line="240"/>
            </w:pPr>
            <w:r>
              <w:rPr>
                <w:rFonts w:ascii="Courier New" w:eastAsia="Courier New"/>
                <w:color w:val="1A2330"/>
                <w:sz w:val="16"/>
                <w:szCs w:val="16"/>
              </w:rPr>
              <w:t xml:space="preserve">┌────────────────────────────────────────────────────────────┐</w:t>
            </w:r>
          </w:p>
          <w:p>
            <w:pPr>
              <w:spacing w:after="0" w:line="240"/>
            </w:pPr>
            <w:r>
              <w:rPr>
                <w:rFonts w:ascii="Courier New" w:eastAsia="Courier New"/>
                <w:color w:val="1A2330"/>
                <w:sz w:val="16"/>
                <w:szCs w:val="16"/>
              </w:rPr>
              <w:t xml:space="preserve">│  H2:  ICEBERG IDEX Growth Package                          │</w:t>
            </w:r>
          </w:p>
          <w:p>
            <w:pPr>
              <w:spacing w:after="0" w:line="240"/>
            </w:pPr>
            <w:r>
              <w:rPr>
                <w:rFonts w:ascii="Courier New" w:eastAsia="Courier New"/>
                <w:color w:val="1A2330"/>
                <w:sz w:val="16"/>
                <w:szCs w:val="16"/>
              </w:rPr>
              <w:t xml:space="preserve">│  pill: 3 SERVICES × 3 MONTHS                               │</w:t>
            </w:r>
          </w:p>
          <w:p>
            <w:pPr>
              <w:spacing w:after="0" w:line="240"/>
            </w:pPr>
            <w:r>
              <w:rPr>
                <w:rFonts w:ascii="Courier New" w:eastAsia="Courier New"/>
                <w:color w:val="1A2330"/>
                <w:sz w:val="16"/>
                <w:szCs w:val="16"/>
              </w:rPr>
              <w:t xml:space="preserve">│                                                            │</w:t>
            </w:r>
          </w:p>
          <w:p>
            <w:pPr>
              <w:spacing w:after="0" w:line="240"/>
            </w:pPr>
            <w:r>
              <w:rPr>
                <w:rFonts w:ascii="Courier New" w:eastAsia="Courier New"/>
                <w:color w:val="1A2330"/>
                <w:sz w:val="16"/>
                <w:szCs w:val="16"/>
              </w:rPr>
              <w:t xml:space="preserve">│  ┌────────────────────────────┐  ┌─────────────────────┐   │</w:t>
            </w:r>
          </w:p>
          <w:p>
            <w:pPr>
              <w:spacing w:after="0" w:line="240"/>
            </w:pPr>
            <w:r>
              <w:rPr>
                <w:rFonts w:ascii="Courier New" w:eastAsia="Courier New"/>
                <w:color w:val="1A2330"/>
                <w:sz w:val="16"/>
                <w:szCs w:val="16"/>
              </w:rPr>
              <w:t xml:space="preserve">│  │ Package Card (elevated)     │  │ Offer 01 — 33%     │   │</w:t>
            </w:r>
          </w:p>
          <w:p>
            <w:pPr>
              <w:spacing w:after="0" w:line="240"/>
            </w:pPr>
            <w:r>
              <w:rPr>
                <w:rFonts w:ascii="Courier New" w:eastAsia="Courier New"/>
                <w:color w:val="1A2330"/>
                <w:sz w:val="16"/>
                <w:szCs w:val="16"/>
              </w:rPr>
              <w:t xml:space="preserve">│  │ ┌─────────┐ ┌─────────┐    │  │ Limited-time 33%   │   │</w:t>
            </w:r>
          </w:p>
          <w:p>
            <w:pPr>
              <w:spacing w:after="0" w:line="240"/>
            </w:pPr>
            <w:r>
              <w:rPr>
                <w:rFonts w:ascii="Courier New" w:eastAsia="Courier New"/>
                <w:color w:val="1A2330"/>
                <w:sz w:val="16"/>
                <w:szCs w:val="16"/>
              </w:rPr>
              <w:t xml:space="preserve">│  │ │ Rebrand │ │ Printing│    │  │ discount. Valid     │   │</w:t>
            </w:r>
          </w:p>
          <w:p>
            <w:pPr>
              <w:spacing w:after="0" w:line="240"/>
            </w:pPr>
            <w:r>
              <w:rPr>
                <w:rFonts w:ascii="Courier New" w:eastAsia="Courier New"/>
                <w:color w:val="1A2330"/>
                <w:sz w:val="16"/>
                <w:szCs w:val="16"/>
              </w:rPr>
              <w:t xml:space="preserve">│  │ └─────────┘ └─────────┘    │  │ through 31 August. │   │</w:t>
            </w:r>
          </w:p>
          <w:p>
            <w:pPr>
              <w:spacing w:after="0" w:line="240"/>
            </w:pPr>
            <w:r>
              <w:rPr>
                <w:rFonts w:ascii="Courier New" w:eastAsia="Courier New"/>
                <w:color w:val="1A2330"/>
                <w:sz w:val="16"/>
                <w:szCs w:val="16"/>
              </w:rPr>
              <w:t xml:space="preserve">│  │ ┌─────────┐ ┌─────────┐    │  └─────────────────────┘   │</w:t>
            </w:r>
          </w:p>
          <w:p>
            <w:pPr>
              <w:spacing w:after="0" w:line="240"/>
            </w:pPr>
            <w:r>
              <w:rPr>
                <w:rFonts w:ascii="Courier New" w:eastAsia="Courier New"/>
                <w:color w:val="1A2330"/>
                <w:sz w:val="16"/>
                <w:szCs w:val="16"/>
              </w:rPr>
              <w:t xml:space="preserve">│  │ │ Media   │ │ Website │    │  ┌─────────────────────┐   │</w:t>
            </w:r>
          </w:p>
          <w:p>
            <w:pPr>
              <w:spacing w:after="0" w:line="240"/>
            </w:pPr>
            <w:r>
              <w:rPr>
                <w:rFonts w:ascii="Courier New" w:eastAsia="Courier New"/>
                <w:color w:val="1A2330"/>
                <w:sz w:val="16"/>
                <w:szCs w:val="16"/>
              </w:rPr>
              <w:t xml:space="preserve">│  │ └─────────┘ └─────────┘    │  │ Offer 02 — 3 = 1    │   │</w:t>
            </w:r>
          </w:p>
          <w:p>
            <w:pPr>
              <w:spacing w:after="0" w:line="240"/>
            </w:pPr>
            <w:r>
              <w:rPr>
                <w:rFonts w:ascii="Courier New" w:eastAsia="Courier New"/>
                <w:color w:val="1A2330"/>
                <w:sz w:val="16"/>
                <w:szCs w:val="16"/>
              </w:rPr>
              <w:t xml:space="preserve">│  │ ┌─────────────────────┐    │  │ Choose 3 services,  │   │</w:t>
            </w:r>
          </w:p>
          <w:p>
            <w:pPr>
              <w:spacing w:after="0" w:line="240"/>
            </w:pPr>
            <w:r>
              <w:rPr>
                <w:rFonts w:ascii="Courier New" w:eastAsia="Courier New"/>
                <w:color w:val="1A2330"/>
                <w:sz w:val="16"/>
                <w:szCs w:val="16"/>
              </w:rPr>
              <w:t xml:space="preserve">│  │ │ Business Development│    │  │ get 1 free.         │   │</w:t>
            </w:r>
          </w:p>
          <w:p>
            <w:pPr>
              <w:spacing w:after="0" w:line="240"/>
            </w:pPr>
            <w:r>
              <w:rPr>
                <w:rFonts w:ascii="Courier New" w:eastAsia="Courier New"/>
                <w:color w:val="1A2330"/>
                <w:sz w:val="16"/>
                <w:szCs w:val="16"/>
              </w:rPr>
              <w:t xml:space="preserve">│  │ └─────────────────────┘    │  └─────────────────────┘   │</w:t>
            </w:r>
          </w:p>
          <w:p>
            <w:pPr>
              <w:spacing w:after="0" w:line="240"/>
            </w:pPr>
            <w:r>
              <w:rPr>
                <w:rFonts w:ascii="Courier New" w:eastAsia="Courier New"/>
                <w:color w:val="1A2330"/>
                <w:sz w:val="16"/>
                <w:szCs w:val="16"/>
              </w:rPr>
              <w:t xml:space="preserve">│  │                            │  ┌─────────────────────┐   │</w:t>
            </w:r>
          </w:p>
          <w:p>
            <w:pPr>
              <w:spacing w:after="0" w:line="240"/>
            </w:pPr>
            <w:r>
              <w:rPr>
                <w:rFonts w:ascii="Courier New" w:eastAsia="Courier New"/>
                <w:color w:val="1A2330"/>
                <w:sz w:val="16"/>
                <w:szCs w:val="16"/>
              </w:rPr>
              <w:t xml:space="preserve">│  │ Starting From: [AED XX,XXX]│  │ Offer 03 — Birthday │   │</w:t>
            </w:r>
          </w:p>
          <w:p>
            <w:pPr>
              <w:spacing w:after="0" w:line="240"/>
            </w:pPr>
            <w:r>
              <w:rPr>
                <w:rFonts w:ascii="Courier New" w:eastAsia="Courier New"/>
                <w:color w:val="1A2330"/>
                <w:sz w:val="16"/>
                <w:szCs w:val="16"/>
              </w:rPr>
              <w:t xml:space="preserve">│  │ Est. Investment:[AED XX,XXX]│  │ August-founded      │   │</w:t>
            </w:r>
          </w:p>
          <w:p>
            <w:pPr>
              <w:spacing w:after="0" w:line="240"/>
            </w:pPr>
            <w:r>
              <w:rPr>
                <w:rFonts w:ascii="Courier New" w:eastAsia="Courier New"/>
                <w:color w:val="1A2330"/>
                <w:sz w:val="16"/>
                <w:szCs w:val="16"/>
              </w:rPr>
              <w:t xml:space="preserve">│  │ Duration: 3 Months          │  │ company offer.       │   │</w:t>
            </w:r>
          </w:p>
          <w:p>
            <w:pPr>
              <w:spacing w:after="0" w:line="240"/>
            </w:pPr>
            <w:r>
              <w:rPr>
                <w:rFonts w:ascii="Courier New" w:eastAsia="Courier New"/>
                <w:color w:val="1A2330"/>
                <w:sz w:val="16"/>
                <w:szCs w:val="16"/>
              </w:rPr>
              <w:t xml:space="preserve">│  └────────────────────────────┘  └─────────────────────┘   │</w:t>
            </w:r>
          </w:p>
          <w:p>
            <w:pPr>
              <w:spacing w:after="0" w:line="240"/>
            </w:pPr>
            <w:r>
              <w:rPr>
                <w:rFonts w:ascii="Courier New" w:eastAsia="Courier New"/>
                <w:color w:val="1A2330"/>
                <w:sz w:val="16"/>
                <w:szCs w:val="16"/>
              </w:rPr>
              <w:t xml:space="preserve">└────────────────────────────────────────────────────────────┘</w:t>
            </w:r>
          </w:p>
        </w:tc>
      </w:tr>
    </w:tbl>
    <w:p>
      <w:pPr>
        <w:pStyle w:val="Heading3"/>
        <w:spacing w:after="100" w:before="220" w:line="312"/>
      </w:pPr>
      <w:bookmarkStart w:id="100033" w:name="_Toc100033"/>
      <w:r>
        <w:rPr>
          <w:rFonts w:ascii="Calibri" w:eastAsia="SimHei"/>
          <w:b/>
          <w:bCs/>
          <w:color w:val="0B1220"/>
          <w:sz w:val="24"/>
          <w:szCs w:val="24"/>
        </w:rPr>
        <w:t xml:space="preserve">Package Spec</w:t>
      </w:r>
      <w:bookmarkEnd w:id="100033"/>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tblGrid>
      <w:tr>
        <w:trPr>
          <w:cantSplit/>
          <w:tblHeader/>
        </w:trPr>
        <w:tc>
          <w:tcPr>
            <w:tcW w:type="pct" w:w="30%"/>
            <w:shd w:fill="D4875A" w:val="clear"/>
            <w:tcMar>
              <w:top w:type="dxa" w:w="80"/>
              <w:left w:type="dxa" w:w="120"/>
              <w:bottom w:type="dxa" w:w="80"/>
              <w:right w:type="dxa" w:w="120"/>
            </w:tcMar>
          </w:tcPr>
          <w:p>
            <w:pPr>
              <w:jc w:val="left"/>
            </w:pPr>
            <w:r>
              <w:rPr>
                <w:rFonts w:ascii="Calibri" w:eastAsia="SimHei"/>
                <w:b/>
                <w:bCs/>
                <w:color w:val="FFFFFF"/>
                <w:sz w:val="20"/>
                <w:szCs w:val="20"/>
              </w:rPr>
              <w:t xml:space="preserve">Field</w:t>
            </w:r>
          </w:p>
        </w:tc>
        <w:tc>
          <w:tcPr>
            <w:tcW w:type="pct" w:w="70%"/>
            <w:shd w:fill="D4875A" w:val="clear"/>
            <w:tcMar>
              <w:top w:type="dxa" w:w="80"/>
              <w:left w:type="dxa" w:w="120"/>
              <w:bottom w:type="dxa" w:w="80"/>
              <w:right w:type="dxa" w:w="120"/>
            </w:tcMar>
          </w:tcPr>
          <w:p>
            <w:pPr>
              <w:jc w:val="left"/>
            </w:pPr>
            <w:r>
              <w:rPr>
                <w:rFonts w:ascii="Calibri" w:eastAsia="SimHei"/>
                <w:b/>
                <w:bCs/>
                <w:color w:val="FFFFFF"/>
                <w:sz w:val="20"/>
                <w:szCs w:val="20"/>
              </w:rPr>
              <w:t xml:space="preserve">Value</w:t>
            </w:r>
          </w:p>
        </w:tc>
      </w:tr>
      <w:tr>
        <w:trPr>
          <w:cantSplit/>
        </w:trPr>
        <w:tc>
          <w:tcPr>
            <w:tcW w:type="pct" w:w="3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Package name</w:t>
            </w:r>
          </w:p>
        </w:tc>
        <w:tc>
          <w:tcPr>
            <w:tcW w:type="pct" w:w="7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ICEBERG IDEX Growth Package</w:t>
            </w:r>
          </w:p>
        </w:tc>
      </w:tr>
      <w:tr>
        <w:trPr>
          <w:cantSplit/>
        </w:trPr>
        <w:tc>
          <w:tcPr>
            <w:tcW w:type="pct" w:w="3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Structure</w:t>
            </w:r>
          </w:p>
        </w:tc>
        <w:tc>
          <w:tcPr>
            <w:tcW w:type="pct" w:w="7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3 services × 3 months</w:t>
            </w:r>
          </w:p>
        </w:tc>
      </w:tr>
      <w:tr>
        <w:trPr>
          <w:cantSplit/>
        </w:trPr>
        <w:tc>
          <w:tcPr>
            <w:tcW w:type="pct" w:w="3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Starting From</w:t>
            </w:r>
          </w:p>
        </w:tc>
        <w:tc>
          <w:tcPr>
            <w:tcW w:type="pct" w:w="7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【AED XX,XXX — confirm before publication】</w:t>
            </w:r>
          </w:p>
        </w:tc>
      </w:tr>
      <w:tr>
        <w:trPr>
          <w:cantSplit/>
        </w:trPr>
        <w:tc>
          <w:tcPr>
            <w:tcW w:type="pct" w:w="3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Estimated Investment</w:t>
            </w:r>
          </w:p>
        </w:tc>
        <w:tc>
          <w:tcPr>
            <w:tcW w:type="pct" w:w="7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【AED XX,XXX — confirm before publication】</w:t>
            </w:r>
          </w:p>
        </w:tc>
      </w:tr>
      <w:tr>
        <w:trPr>
          <w:cantSplit/>
        </w:trPr>
        <w:tc>
          <w:tcPr>
            <w:tcW w:type="pct" w:w="3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Duration</w:t>
            </w:r>
          </w:p>
        </w:tc>
        <w:tc>
          <w:tcPr>
            <w:tcW w:type="pct" w:w="7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3 Months</w:t>
            </w:r>
          </w:p>
        </w:tc>
      </w:tr>
      <w:tr>
        <w:trPr>
          <w:cantSplit/>
        </w:trPr>
        <w:tc>
          <w:tcPr>
            <w:tcW w:type="pct" w:w="3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Services included (select 3 of 5)</w:t>
            </w:r>
          </w:p>
        </w:tc>
        <w:tc>
          <w:tcPr>
            <w:tcW w:type="pct" w:w="7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Rebranding, Printing, Media Buying, Website Services, Business Development &amp; Consulting</w:t>
            </w:r>
          </w:p>
        </w:tc>
      </w:tr>
      <w:tr>
        <w:trPr>
          <w:cantSplit/>
        </w:trPr>
        <w:tc>
          <w:tcPr>
            <w:tcW w:type="pct" w:w="3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Optional add-ons</w:t>
            </w:r>
          </w:p>
        </w:tc>
        <w:tc>
          <w:tcPr>
            <w:tcW w:type="pct" w:w="7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Additional services beyond the 3 included, billed at standard rate</w:t>
            </w:r>
          </w:p>
        </w:tc>
      </w:tr>
    </w:tbl>
    <w:p>
      <w:pPr>
        <w:pStyle w:val="Heading3"/>
        <w:spacing w:after="100" w:before="220" w:line="312"/>
      </w:pPr>
      <w:bookmarkStart w:id="100034" w:name="_Toc100034"/>
      <w:r>
        <w:rPr>
          <w:rFonts w:ascii="Calibri" w:eastAsia="SimHei"/>
          <w:b/>
          <w:bCs/>
          <w:color w:val="0B1220"/>
          <w:sz w:val="24"/>
          <w:szCs w:val="24"/>
        </w:rPr>
        <w:t xml:space="preserve">Promotional Offers</w:t>
      </w:r>
      <w:bookmarkEnd w:id="100034"/>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gridCol w:w="100"/>
      </w:tblGrid>
      <w:tr>
        <w:trPr>
          <w:cantSplit/>
          <w:tblHeader/>
        </w:trPr>
        <w:tc>
          <w:tcPr>
            <w:tcW w:type="pct" w:w="25%"/>
            <w:shd w:fill="D4875A" w:val="clear"/>
            <w:tcMar>
              <w:top w:type="dxa" w:w="80"/>
              <w:left w:type="dxa" w:w="120"/>
              <w:bottom w:type="dxa" w:w="80"/>
              <w:right w:type="dxa" w:w="120"/>
            </w:tcMar>
          </w:tcPr>
          <w:p>
            <w:pPr>
              <w:jc w:val="left"/>
            </w:pPr>
            <w:r>
              <w:rPr>
                <w:rFonts w:ascii="Calibri" w:eastAsia="SimHei"/>
                <w:b/>
                <w:bCs/>
                <w:color w:val="FFFFFF"/>
                <w:sz w:val="20"/>
                <w:szCs w:val="20"/>
              </w:rPr>
              <w:t xml:space="preserve">Offer</w:t>
            </w:r>
          </w:p>
        </w:tc>
        <w:tc>
          <w:tcPr>
            <w:tcW w:type="pct" w:w="50%"/>
            <w:shd w:fill="D4875A" w:val="clear"/>
            <w:tcMar>
              <w:top w:type="dxa" w:w="80"/>
              <w:left w:type="dxa" w:w="120"/>
              <w:bottom w:type="dxa" w:w="80"/>
              <w:right w:type="dxa" w:w="120"/>
            </w:tcMar>
          </w:tcPr>
          <w:p>
            <w:pPr>
              <w:jc w:val="left"/>
            </w:pPr>
            <w:r>
              <w:rPr>
                <w:rFonts w:ascii="Calibri" w:eastAsia="SimHei"/>
                <w:b/>
                <w:bCs/>
                <w:color w:val="FFFFFF"/>
                <w:sz w:val="20"/>
                <w:szCs w:val="20"/>
              </w:rPr>
              <w:t xml:space="preserve">Mechanic</w:t>
            </w:r>
          </w:p>
        </w:tc>
        <w:tc>
          <w:tcPr>
            <w:tcW w:type="pct" w:w="25%"/>
            <w:shd w:fill="D4875A" w:val="clear"/>
            <w:tcMar>
              <w:top w:type="dxa" w:w="80"/>
              <w:left w:type="dxa" w:w="120"/>
              <w:bottom w:type="dxa" w:w="80"/>
              <w:right w:type="dxa" w:w="120"/>
            </w:tcMar>
          </w:tcPr>
          <w:p>
            <w:pPr>
              <w:jc w:val="left"/>
            </w:pPr>
            <w:r>
              <w:rPr>
                <w:rFonts w:ascii="Calibri" w:eastAsia="SimHei"/>
                <w:b/>
                <w:bCs/>
                <w:color w:val="FFFFFF"/>
                <w:sz w:val="20"/>
                <w:szCs w:val="20"/>
              </w:rPr>
              <w:t xml:space="preserve">Validity / Eligibility</w:t>
            </w:r>
          </w:p>
        </w:tc>
      </w:tr>
      <w:tr>
        <w:trPr>
          <w:cantSplit/>
        </w:trPr>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01 — 33% IDEX Special Offer</w:t>
            </w:r>
          </w:p>
        </w:tc>
        <w:tc>
          <w:tcPr>
            <w:tcW w:type="pct" w:w="5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33% discount on the 3-Month Growth Package.</w:t>
            </w:r>
          </w:p>
        </w:tc>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Valid through 31 August. Limited-time.</w:t>
            </w:r>
          </w:p>
        </w:tc>
      </w:tr>
      <w:tr>
        <w:trPr>
          <w:cantSplit/>
        </w:trPr>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02 — Choose 3, Get 1 Free</w:t>
            </w:r>
          </w:p>
        </w:tc>
        <w:tc>
          <w:tcPr>
            <w:tcW w:type="pct" w:w="5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Clients selecting three services receive an additional service free of charge.</w:t>
            </w:r>
          </w:p>
        </w:tc>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Stackable with package pricing. No expiry in this campaign.</w:t>
            </w:r>
          </w:p>
        </w:tc>
      </w:tr>
      <w:tr>
        <w:trPr>
          <w:cantSplit/>
        </w:trPr>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03 — August Birthday Offer</w:t>
            </w:r>
          </w:p>
        </w:tc>
        <w:tc>
          <w:tcPr>
            <w:tcW w:type="pct" w:w="5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Dedicated promotional offer for eligible companies founded or incorporated in August.</w:t>
            </w:r>
          </w:p>
        </w:tc>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Eligibility verified at consultation. August-founded companies only.</w:t>
            </w:r>
          </w:p>
        </w:tc>
      </w:tr>
    </w:tbl>
    <w:p>
      <w:pPr>
        <w:pBdr>
          <w:left w:val="single" w:color="D4875A" w:sz="18" w:space="8"/>
        </w:pBdr>
        <w:shd w:fill="F8F0EB" w:val="clear"/>
        <w:spacing w:after="160" w:before="120" w:line="312"/>
        <w:ind w:left="200" w:right="100"/>
      </w:pPr>
      <w:r>
        <w:rPr>
          <w:rFonts w:ascii="Calibri" w:eastAsia="Microsoft YaHei"/>
          <w:i/>
          <w:iCs/>
          <w:color w:val="1A2330"/>
          <w:sz w:val="22"/>
          <w:szCs w:val="22"/>
        </w:rPr>
        <w:t xml:space="preserve">Pricing placeholders are enclosed in 【】 and must be replaced before publication. Final pricing, eligibility, and exact offer mechanics require approval per the master IDEX Event Plan.</w:t>
      </w:r>
    </w:p>
    <w:p>
      <w:pPr>
        <w:pStyle w:val="Heading3"/>
        <w:spacing w:after="100" w:before="220" w:line="312"/>
      </w:pPr>
      <w:bookmarkStart w:id="100035" w:name="_Toc100035"/>
      <w:r>
        <w:rPr>
          <w:rFonts w:ascii="Calibri" w:eastAsia="SimHei"/>
          <w:b/>
          <w:bCs/>
          <w:color w:val="0B1220"/>
          <w:sz w:val="24"/>
          <w:szCs w:val="24"/>
        </w:rPr>
        <w:t xml:space="preserve">Acceptance Criteria</w:t>
      </w:r>
      <w:bookmarkEnd w:id="100035"/>
    </w:p>
    <w:p>
      <w:pPr>
        <w:pStyle w:val="ListParagraph"/>
        <w:numPr>
          <w:ilvl w:val="0"/>
          <w:numId w:val="1"/>
        </w:numPr>
        <w:spacing w:after="60" w:line="312"/>
      </w:pPr>
      <w:r>
        <w:rPr>
          <w:rFonts w:ascii="Calibri" w:eastAsia="Microsoft YaHei"/>
          <w:color w:val="1A2330"/>
          <w:sz w:val="22"/>
          <w:szCs w:val="22"/>
        </w:rPr>
        <w:t xml:space="preserve">Package card visually elevated (drop-shadow, accent border) to distinguish from offer cards.</w:t>
      </w:r>
    </w:p>
    <w:p>
      <w:pPr>
        <w:pStyle w:val="ListParagraph"/>
        <w:numPr>
          <w:ilvl w:val="0"/>
          <w:numId w:val="1"/>
        </w:numPr>
        <w:spacing w:after="60" w:line="312"/>
      </w:pPr>
      <w:r>
        <w:rPr>
          <w:rFonts w:ascii="Calibri" w:eastAsia="Microsoft YaHei"/>
          <w:color w:val="1A2330"/>
          <w:sz w:val="22"/>
          <w:szCs w:val="22"/>
        </w:rPr>
        <w:t xml:space="preserve">Offer 01 (33% August deadline) badge shows countdown if visited before 31 August; shows "Expired" state after.</w:t>
      </w:r>
    </w:p>
    <w:p>
      <w:pPr>
        <w:pStyle w:val="ListParagraph"/>
        <w:numPr>
          <w:ilvl w:val="0"/>
          <w:numId w:val="1"/>
        </w:numPr>
        <w:spacing w:after="60" w:line="312"/>
      </w:pPr>
      <w:r>
        <w:rPr>
          <w:rFonts w:ascii="Calibri" w:eastAsia="Microsoft YaHei"/>
          <w:color w:val="1A2330"/>
          <w:sz w:val="22"/>
          <w:szCs w:val="22"/>
        </w:rPr>
        <w:t xml:space="preserve">CTA on package card: "Book Your IDEX Consultation" → smooth-scrolls to Section 07.</w:t>
      </w:r>
    </w:p>
    <w:p>
      <w:pPr>
        <w:pStyle w:val="Heading2"/>
        <w:spacing w:after="120" w:before="280" w:line="312"/>
      </w:pPr>
      <w:bookmarkStart w:id="100036" w:name="_Toc100036"/>
      <w:r>
        <w:rPr>
          <w:rFonts w:ascii="Calibri" w:eastAsia="SimHei"/>
          <w:b/>
          <w:bCs/>
          <w:color w:val="0B1220"/>
          <w:sz w:val="28"/>
          <w:szCs w:val="28"/>
        </w:rPr>
        <w:t xml:space="preserve">3.5 Section 05 — Our Work (Client Showcase)</w:t>
      </w:r>
      <w:bookmarkEnd w:id="100036"/>
    </w:p>
    <w:p>
      <w:pPr>
        <w:pStyle w:val="Heading3"/>
        <w:spacing w:after="100" w:before="220" w:line="312"/>
      </w:pPr>
      <w:bookmarkStart w:id="100037" w:name="_Toc100037"/>
      <w:r>
        <w:rPr>
          <w:rFonts w:ascii="Calibri" w:eastAsia="SimHei"/>
          <w:b/>
          <w:bCs/>
          <w:color w:val="0B1220"/>
          <w:sz w:val="24"/>
          <w:szCs w:val="24"/>
        </w:rPr>
        <w:t xml:space="preserve">Purpose</w:t>
      </w:r>
      <w:bookmarkEnd w:id="100037"/>
    </w:p>
    <w:p>
      <w:pPr>
        <w:spacing w:after="100" w:line="312"/>
        <w:ind w:firstLine="0"/>
        <w:jc w:val="both"/>
      </w:pPr>
      <w:r>
        <w:rPr>
          <w:rFonts w:ascii="Calibri" w:eastAsia="Microsoft YaHei"/>
          <w:color w:val="1A2330"/>
          <w:sz w:val="22"/>
          <w:szCs w:val="22"/>
        </w:rPr>
        <w:t xml:space="preserve">Provide proof of capability through three case studies. The objective is to use these brands as proof, not a logo wall — each showcase follows Challenge → Strategy → ICEBERG Execution → Results structure. Each case study card includes a View Case Study CTA linking to a dedicated /idex/case-study/{slug} route.</w:t>
      </w:r>
    </w:p>
    <w:p>
      <w:pPr>
        <w:pStyle w:val="Heading3"/>
        <w:spacing w:after="100" w:before="220" w:line="312"/>
      </w:pPr>
      <w:bookmarkStart w:id="100038" w:name="_Toc100038"/>
      <w:r>
        <w:rPr>
          <w:rFonts w:ascii="Calibri" w:eastAsia="SimHei"/>
          <w:b/>
          <w:bCs/>
          <w:color w:val="0B1220"/>
          <w:sz w:val="24"/>
          <w:szCs w:val="24"/>
        </w:rPr>
        <w:t xml:space="preserve">Wireframe</w:t>
      </w:r>
      <w:bookmarkEnd w:id="100038"/>
    </w:p>
    <w:tbl>
      <w:tblPr>
        <w:tblW w:type="pct" w:w="100%"/>
        <w:tblBorders>
          <w:top w:val="single" w:color="D4875A" w:sz="2"/>
          <w:left w:val="none"/>
          <w:bottom w:val="single" w:color="D4875A" w:sz="2"/>
          <w:right w:val="none"/>
          <w:insideH w:val="single" w:color="DDD0C8" w:sz="1"/>
          <w:insideV w:val="none"/>
        </w:tblBorders>
        <w:tblLayout w:type="fixed"/>
      </w:tblPr>
      <w:tblGrid>
        <w:gridCol w:w="100"/>
      </w:tblGrid>
      <w:tr>
        <w:trPr>
          <w:cantSplit/>
          <w:tblHeader/>
        </w:trPr>
        <w:tc>
          <w:tcPr>
            <w:tcW w:type="pct" w:w="100%"/>
            <w:shd w:fill="D4875A" w:val="clear"/>
            <w:tcMar>
              <w:top w:type="dxa" w:w="60"/>
              <w:left w:type="dxa" w:w="120"/>
              <w:bottom w:type="dxa" w:w="60"/>
              <w:right w:type="dxa" w:w="120"/>
            </w:tcMar>
          </w:tcPr>
          <w:p>
            <w:r>
              <w:rPr>
                <w:rFonts w:ascii="Calibri" w:eastAsia="SimHei"/>
                <w:b/>
                <w:bCs/>
                <w:color w:val="FFFFFF"/>
                <w:sz w:val="18"/>
                <w:szCs w:val="18"/>
              </w:rPr>
              <w:t xml:space="preserve">Figure 6 — Client Showcase Section Wireframe</w:t>
            </w:r>
          </w:p>
        </w:tc>
      </w:tr>
      <w:tr>
        <w:trPr>
          <w:cantSplit/>
        </w:trPr>
        <w:tc>
          <w:tcPr>
            <w:tcW w:type="pct" w:w="100%"/>
            <w:shd w:fill="FBFBFB" w:val="clear"/>
            <w:tcMar>
              <w:top w:type="dxa" w:w="100"/>
              <w:left w:type="dxa" w:w="140"/>
              <w:bottom w:type="dxa" w:w="100"/>
              <w:right w:type="dxa" w:w="140"/>
            </w:tcMar>
          </w:tcPr>
          <w:p>
            <w:pPr>
              <w:spacing w:after="0" w:line="240"/>
            </w:pPr>
            <w:r>
              <w:rPr>
                <w:rFonts w:ascii="Courier New" w:eastAsia="Courier New"/>
                <w:color w:val="1A2330"/>
                <w:sz w:val="16"/>
                <w:szCs w:val="16"/>
              </w:rPr>
              <w:t xml:space="preserve">┌────────────────────────────────────────────────────────────┐</w:t>
            </w:r>
          </w:p>
          <w:p>
            <w:pPr>
              <w:spacing w:after="0" w:line="240"/>
            </w:pPr>
            <w:r>
              <w:rPr>
                <w:rFonts w:ascii="Courier New" w:eastAsia="Courier New"/>
                <w:color w:val="1A2330"/>
                <w:sz w:val="16"/>
                <w:szCs w:val="16"/>
              </w:rPr>
              <w:t xml:space="preserve">│  H2:  Our Work — Client Showcase                            │</w:t>
            </w:r>
          </w:p>
          <w:p>
            <w:pPr>
              <w:spacing w:after="0" w:line="240"/>
            </w:pPr>
            <w:r>
              <w:rPr>
                <w:rFonts w:ascii="Courier New" w:eastAsia="Courier New"/>
                <w:color w:val="1A2330"/>
                <w:sz w:val="16"/>
                <w:szCs w:val="16"/>
              </w:rPr>
              <w:t xml:space="preserve">│  sub: Three brands. One standard of execution.             │</w:t>
            </w:r>
          </w:p>
          <w:p>
            <w:pPr>
              <w:spacing w:after="0" w:line="240"/>
            </w:pPr>
            <w:r>
              <w:rPr>
                <w:rFonts w:ascii="Courier New" w:eastAsia="Courier New"/>
                <w:color w:val="1A2330"/>
                <w:sz w:val="16"/>
                <w:szCs w:val="16"/>
              </w:rPr>
              <w:t xml:space="preserve">│                                                            │</w:t>
            </w:r>
          </w:p>
          <w:p>
            <w:pPr>
              <w:spacing w:after="0" w:line="240"/>
            </w:pPr>
            <w:r>
              <w:rPr>
                <w:rFonts w:ascii="Courier New" w:eastAsia="Courier New"/>
                <w:color w:val="1A2330"/>
                <w:sz w:val="16"/>
                <w:szCs w:val="16"/>
              </w:rPr>
              <w:t xml:space="preserve">│  ┌─────────────┐  ┌─────────────┐  ┌─────────────┐         │</w:t>
            </w:r>
          </w:p>
          <w:p>
            <w:pPr>
              <w:spacing w:after="0" w:line="240"/>
            </w:pPr>
            <w:r>
              <w:rPr>
                <w:rFonts w:ascii="Courier New" w:eastAsia="Courier New"/>
                <w:color w:val="1A2330"/>
                <w:sz w:val="16"/>
                <w:szCs w:val="16"/>
              </w:rPr>
              <w:t xml:space="preserve">│  │ Dentaquick  │  │ Acrostone   │  │ Waterpik    │         │</w:t>
            </w:r>
          </w:p>
          <w:p>
            <w:pPr>
              <w:spacing w:after="0" w:line="240"/>
            </w:pPr>
            <w:r>
              <w:rPr>
                <w:rFonts w:ascii="Courier New" w:eastAsia="Courier New"/>
                <w:color w:val="1A2330"/>
                <w:sz w:val="16"/>
                <w:szCs w:val="16"/>
              </w:rPr>
              <w:t xml:space="preserve">│  │ [image]     │  │ [image]     │  │ [image]     │         │</w:t>
            </w:r>
          </w:p>
          <w:p>
            <w:pPr>
              <w:spacing w:after="0" w:line="240"/>
            </w:pPr>
            <w:r>
              <w:rPr>
                <w:rFonts w:ascii="Courier New" w:eastAsia="Courier New"/>
                <w:color w:val="1A2330"/>
                <w:sz w:val="16"/>
                <w:szCs w:val="16"/>
              </w:rPr>
              <w:t xml:space="preserve">│  │             │  │             │  │             │         │</w:t>
            </w:r>
          </w:p>
          <w:p>
            <w:pPr>
              <w:spacing w:after="0" w:line="240"/>
            </w:pPr>
            <w:r>
              <w:rPr>
                <w:rFonts w:ascii="Courier New" w:eastAsia="Courier New"/>
                <w:color w:val="1A2330"/>
                <w:sz w:val="16"/>
                <w:szCs w:val="16"/>
              </w:rPr>
              <w:t xml:space="preserve">│  │ CHALLENGE   │  │ CHALLENGE   │  │ CHALLENGE   │         │</w:t>
            </w:r>
          </w:p>
          <w:p>
            <w:pPr>
              <w:spacing w:after="0" w:line="240"/>
            </w:pPr>
            <w:r>
              <w:rPr>
                <w:rFonts w:ascii="Courier New" w:eastAsia="Courier New"/>
                <w:color w:val="1A2330"/>
                <w:sz w:val="16"/>
                <w:szCs w:val="16"/>
              </w:rPr>
              <w:t xml:space="preserve">│  │ …           │  │ …           │  │ …           │         │</w:t>
            </w:r>
          </w:p>
          <w:p>
            <w:pPr>
              <w:spacing w:after="0" w:line="240"/>
            </w:pPr>
            <w:r>
              <w:rPr>
                <w:rFonts w:ascii="Courier New" w:eastAsia="Courier New"/>
                <w:color w:val="1A2330"/>
                <w:sz w:val="16"/>
                <w:szCs w:val="16"/>
              </w:rPr>
              <w:t xml:space="preserve">│  │ STRATEGY    │  │ STRATEGY    │  │ STRATEGY    │         │</w:t>
            </w:r>
          </w:p>
          <w:p>
            <w:pPr>
              <w:spacing w:after="0" w:line="240"/>
            </w:pPr>
            <w:r>
              <w:rPr>
                <w:rFonts w:ascii="Courier New" w:eastAsia="Courier New"/>
                <w:color w:val="1A2330"/>
                <w:sz w:val="16"/>
                <w:szCs w:val="16"/>
              </w:rPr>
              <w:t xml:space="preserve">│  │ …           │  │ …           │  │ …           │         │</w:t>
            </w:r>
          </w:p>
          <w:p>
            <w:pPr>
              <w:spacing w:after="0" w:line="240"/>
            </w:pPr>
            <w:r>
              <w:rPr>
                <w:rFonts w:ascii="Courier New" w:eastAsia="Courier New"/>
                <w:color w:val="1A2330"/>
                <w:sz w:val="16"/>
                <w:szCs w:val="16"/>
              </w:rPr>
              <w:t xml:space="preserve">│  │ EXECUTION   │  │ EXECUTION   │  │ EXECUTION   │         │</w:t>
            </w:r>
          </w:p>
          <w:p>
            <w:pPr>
              <w:spacing w:after="0" w:line="240"/>
            </w:pPr>
            <w:r>
              <w:rPr>
                <w:rFonts w:ascii="Courier New" w:eastAsia="Courier New"/>
                <w:color w:val="1A2330"/>
                <w:sz w:val="16"/>
                <w:szCs w:val="16"/>
              </w:rPr>
              <w:t xml:space="preserve">│  │ …           │  │ …           │  │ …           │         │</w:t>
            </w:r>
          </w:p>
          <w:p>
            <w:pPr>
              <w:spacing w:after="0" w:line="240"/>
            </w:pPr>
            <w:r>
              <w:rPr>
                <w:rFonts w:ascii="Courier New" w:eastAsia="Courier New"/>
                <w:color w:val="1A2330"/>
                <w:sz w:val="16"/>
                <w:szCs w:val="16"/>
              </w:rPr>
              <w:t xml:space="preserve">│  │ RESULT      │  │ RESULT      │  │ RESULT      │         │</w:t>
            </w:r>
          </w:p>
          <w:p>
            <w:pPr>
              <w:spacing w:after="0" w:line="240"/>
            </w:pPr>
            <w:r>
              <w:rPr>
                <w:rFonts w:ascii="Courier New" w:eastAsia="Courier New"/>
                <w:color w:val="1A2330"/>
                <w:sz w:val="16"/>
                <w:szCs w:val="16"/>
              </w:rPr>
              <w:t xml:space="preserve">│  │ +38% leads  │  │ 2.4× LinkedIn│  │ +27% ROAS  │         │</w:t>
            </w:r>
          </w:p>
          <w:p>
            <w:pPr>
              <w:spacing w:after="0" w:line="240"/>
            </w:pPr>
            <w:r>
              <w:rPr>
                <w:rFonts w:ascii="Courier New" w:eastAsia="Courier New"/>
                <w:color w:val="1A2330"/>
                <w:sz w:val="16"/>
                <w:szCs w:val="16"/>
              </w:rPr>
              <w:t xml:space="preserve">│  │             │  │             │  │             │         │</w:t>
            </w:r>
          </w:p>
          <w:p>
            <w:pPr>
              <w:spacing w:after="0" w:line="240"/>
            </w:pPr>
            <w:r>
              <w:rPr>
                <w:rFonts w:ascii="Courier New" w:eastAsia="Courier New"/>
                <w:color w:val="1A2330"/>
                <w:sz w:val="16"/>
                <w:szCs w:val="16"/>
              </w:rPr>
              <w:t xml:space="preserve">│  │ View Case   │  │ View Case   │  │ View Case   │         │</w:t>
            </w:r>
          </w:p>
          <w:p>
            <w:pPr>
              <w:spacing w:after="0" w:line="240"/>
            </w:pPr>
            <w:r>
              <w:rPr>
                <w:rFonts w:ascii="Courier New" w:eastAsia="Courier New"/>
                <w:color w:val="1A2330"/>
                <w:sz w:val="16"/>
                <w:szCs w:val="16"/>
              </w:rPr>
              <w:t xml:space="preserve">│  │   Study →   │  │   Study →   │  │   Study →   │         │</w:t>
            </w:r>
          </w:p>
          <w:p>
            <w:pPr>
              <w:spacing w:after="0" w:line="240"/>
            </w:pPr>
            <w:r>
              <w:rPr>
                <w:rFonts w:ascii="Courier New" w:eastAsia="Courier New"/>
                <w:color w:val="1A2330"/>
                <w:sz w:val="16"/>
                <w:szCs w:val="16"/>
              </w:rPr>
              <w:t xml:space="preserve">│  └─────────────┘  └─────────────┘  └─────────────┘         │</w:t>
            </w:r>
          </w:p>
          <w:p>
            <w:pPr>
              <w:spacing w:after="0" w:line="240"/>
            </w:pPr>
            <w:r>
              <w:rPr>
                <w:rFonts w:ascii="Courier New" w:eastAsia="Courier New"/>
                <w:color w:val="1A2330"/>
                <w:sz w:val="16"/>
                <w:szCs w:val="16"/>
              </w:rPr>
              <w:t xml:space="preserve">│                                                            │</w:t>
            </w:r>
          </w:p>
          <w:p>
            <w:pPr>
              <w:spacing w:after="0" w:line="240"/>
            </w:pPr>
            <w:r>
              <w:rPr>
                <w:rFonts w:ascii="Courier New" w:eastAsia="Courier New"/>
                <w:color w:val="1A2330"/>
                <w:sz w:val="16"/>
                <w:szCs w:val="16"/>
              </w:rPr>
              <w:t xml:space="preserve">│  ⚠ Figures are draft estimates — verify before publish.    │</w:t>
            </w:r>
          </w:p>
          <w:p>
            <w:pPr>
              <w:spacing w:after="0" w:line="240"/>
            </w:pPr>
            <w:r>
              <w:rPr>
                <w:rFonts w:ascii="Courier New" w:eastAsia="Courier New"/>
                <w:color w:val="1A2330"/>
                <w:sz w:val="16"/>
                <w:szCs w:val="16"/>
              </w:rPr>
              <w:t xml:space="preserve">└────────────────────────────────────────────────────────────┘</w:t>
            </w:r>
          </w:p>
        </w:tc>
      </w:tr>
    </w:tbl>
    <w:p>
      <w:pPr>
        <w:pStyle w:val="Heading3"/>
        <w:spacing w:after="100" w:before="220" w:line="312"/>
      </w:pPr>
      <w:bookmarkStart w:id="100039" w:name="_Toc100039"/>
      <w:r>
        <w:rPr>
          <w:rFonts w:ascii="Calibri" w:eastAsia="SimHei"/>
          <w:b/>
          <w:bCs/>
          <w:color w:val="0B1220"/>
          <w:sz w:val="24"/>
          <w:szCs w:val="24"/>
        </w:rPr>
        <w:t xml:space="preserve">Case Study Copy — Draft Narratives</w:t>
      </w:r>
      <w:bookmarkEnd w:id="100039"/>
    </w:p>
    <w:p>
      <w:pPr>
        <w:spacing w:after="100" w:line="312"/>
        <w:ind w:firstLine="0"/>
        <w:jc w:val="both"/>
      </w:pPr>
      <w:r>
        <w:rPr>
          <w:rFonts w:ascii="Calibri" w:eastAsia="Microsoft YaHei"/>
          <w:color w:val="1A2330"/>
          <w:sz w:val="22"/>
          <w:szCs w:val="22"/>
        </w:rPr>
        <w:t xml:space="preserve">The following narratives are draft estimates based on public information. They must be verified with each client before publication. Do not present these figures as confirmed case-study results in external communications until verification is complete.</w:t>
      </w:r>
    </w:p>
    <w:p>
      <w:pPr>
        <w:pStyle w:val="Heading3"/>
        <w:spacing w:after="100" w:before="220" w:line="312"/>
      </w:pPr>
      <w:bookmarkStart w:id="100040" w:name="_Toc100040"/>
      <w:r>
        <w:rPr>
          <w:rFonts w:ascii="Calibri" w:eastAsia="SimHei"/>
          <w:b/>
          <w:bCs/>
          <w:color w:val="0B1220"/>
          <w:sz w:val="24"/>
          <w:szCs w:val="24"/>
        </w:rPr>
        <w:t xml:space="preserve">Dentaquick — Dental care / D2C</w:t>
      </w:r>
      <w:bookmarkEnd w:id="100040"/>
    </w:p>
    <w:p>
      <w:pPr>
        <w:pStyle w:val="ListParagraph"/>
        <w:numPr>
          <w:ilvl w:val="0"/>
          <w:numId w:val="1"/>
        </w:numPr>
        <w:spacing w:after="60" w:line="312"/>
      </w:pPr>
      <w:r>
        <w:rPr>
          <w:rFonts w:ascii="Calibri" w:eastAsia="Microsoft YaHei"/>
          <w:color w:val="1A2330"/>
          <w:sz w:val="22"/>
          <w:szCs w:val="22"/>
        </w:rPr>
        <w:t xml:space="preserve">Challenge: Needed to transition from a clinical brand to a consumer-facing growth brand with stronger digital acquisition.</w:t>
      </w:r>
    </w:p>
    <w:p>
      <w:pPr>
        <w:pStyle w:val="ListParagraph"/>
        <w:numPr>
          <w:ilvl w:val="0"/>
          <w:numId w:val="1"/>
        </w:numPr>
        <w:spacing w:after="60" w:line="312"/>
      </w:pPr>
      <w:r>
        <w:rPr>
          <w:rFonts w:ascii="Calibri" w:eastAsia="Microsoft YaHei"/>
          <w:color w:val="1A2330"/>
          <w:sz w:val="22"/>
          <w:szCs w:val="22"/>
        </w:rPr>
        <w:t xml:space="preserve">Strategy: Position Dentaquick as a lifestyle health brand; reorient messaging around patient outcomes rather than clinical procedures.</w:t>
      </w:r>
    </w:p>
    <w:p>
      <w:pPr>
        <w:pStyle w:val="ListParagraph"/>
        <w:numPr>
          <w:ilvl w:val="0"/>
          <w:numId w:val="1"/>
        </w:numPr>
        <w:spacing w:after="60" w:line="312"/>
      </w:pPr>
      <w:r>
        <w:rPr>
          <w:rFonts w:ascii="Calibri" w:eastAsia="Microsoft YaHei"/>
          <w:color w:val="1A2330"/>
          <w:sz w:val="22"/>
          <w:szCs w:val="22"/>
        </w:rPr>
        <w:t xml:space="preserve">ICEBERG Execution: Full rebrand, performance website rebuild, paid-media engine focused on appointment conversions.</w:t>
      </w:r>
    </w:p>
    <w:p>
      <w:pPr>
        <w:pStyle w:val="ListParagraph"/>
        <w:numPr>
          <w:ilvl w:val="0"/>
          <w:numId w:val="1"/>
        </w:numPr>
        <w:spacing w:after="60" w:line="312"/>
      </w:pPr>
      <w:r>
        <w:rPr>
          <w:rFonts w:ascii="Calibri" w:eastAsia="Microsoft YaHei"/>
          <w:color w:val="1A2330"/>
          <w:sz w:val="22"/>
          <w:szCs w:val="22"/>
        </w:rPr>
        <w:t xml:space="preserve">Deliverables: Brand identity system · Conversion-optimized website · Paid social + Google campaigns.</w:t>
      </w:r>
    </w:p>
    <w:p>
      <w:pPr>
        <w:pStyle w:val="ListParagraph"/>
        <w:numPr>
          <w:ilvl w:val="0"/>
          <w:numId w:val="1"/>
        </w:numPr>
        <w:spacing w:after="60" w:line="312"/>
      </w:pPr>
      <w:r>
        <w:rPr>
          <w:rFonts w:ascii="Calibri" w:eastAsia="Microsoft YaHei"/>
          <w:color w:val="1A2330"/>
          <w:sz w:val="22"/>
          <w:szCs w:val="22"/>
        </w:rPr>
        <w:t xml:space="preserve">Result: +38% qualified appointment leads (draft estimate — verify before publish).</w:t>
      </w:r>
    </w:p>
    <w:p>
      <w:pPr>
        <w:pStyle w:val="Heading3"/>
        <w:spacing w:after="100" w:before="220" w:line="312"/>
      </w:pPr>
      <w:bookmarkStart w:id="100041" w:name="_Toc100041"/>
      <w:r>
        <w:rPr>
          <w:rFonts w:ascii="Calibri" w:eastAsia="SimHei"/>
          <w:b/>
          <w:bCs/>
          <w:color w:val="0B1220"/>
          <w:sz w:val="24"/>
          <w:szCs w:val="24"/>
        </w:rPr>
        <w:t xml:space="preserve">Acrostone — Healthcare / medical devices</w:t>
      </w:r>
      <w:bookmarkEnd w:id="100041"/>
    </w:p>
    <w:p>
      <w:pPr>
        <w:pStyle w:val="ListParagraph"/>
        <w:numPr>
          <w:ilvl w:val="0"/>
          <w:numId w:val="1"/>
        </w:numPr>
        <w:spacing w:after="60" w:line="312"/>
      </w:pPr>
      <w:r>
        <w:rPr>
          <w:rFonts w:ascii="Calibri" w:eastAsia="Microsoft YaHei"/>
          <w:color w:val="1A2330"/>
          <w:sz w:val="22"/>
          <w:szCs w:val="22"/>
        </w:rPr>
        <w:t xml:space="preserve">Challenge: Established B2B distributor with weak digital presence and no consistent content engine for HCP audiences.</w:t>
      </w:r>
    </w:p>
    <w:p>
      <w:pPr>
        <w:pStyle w:val="ListParagraph"/>
        <w:numPr>
          <w:ilvl w:val="0"/>
          <w:numId w:val="1"/>
        </w:numPr>
        <w:spacing w:after="60" w:line="312"/>
      </w:pPr>
      <w:r>
        <w:rPr>
          <w:rFonts w:ascii="Calibri" w:eastAsia="Microsoft YaHei"/>
          <w:color w:val="1A2330"/>
          <w:sz w:val="22"/>
          <w:szCs w:val="22"/>
        </w:rPr>
        <w:t xml:space="preserve">Strategy: Build a professional HCP-focused content engine anchored on LinkedIn, supported by trade-show creative.</w:t>
      </w:r>
    </w:p>
    <w:p>
      <w:pPr>
        <w:pStyle w:val="ListParagraph"/>
        <w:numPr>
          <w:ilvl w:val="0"/>
          <w:numId w:val="1"/>
        </w:numPr>
        <w:spacing w:after="60" w:line="312"/>
      </w:pPr>
      <w:r>
        <w:rPr>
          <w:rFonts w:ascii="Calibri" w:eastAsia="Microsoft YaHei"/>
          <w:color w:val="1A2330"/>
          <w:sz w:val="22"/>
          <w:szCs w:val="22"/>
        </w:rPr>
        <w:t xml:space="preserve">ICEBERG Execution: Strategic messaging framework, LinkedIn content program, trade-show creative system.</w:t>
      </w:r>
    </w:p>
    <w:p>
      <w:pPr>
        <w:pStyle w:val="ListParagraph"/>
        <w:numPr>
          <w:ilvl w:val="0"/>
          <w:numId w:val="1"/>
        </w:numPr>
        <w:spacing w:after="60" w:line="312"/>
      </w:pPr>
      <w:r>
        <w:rPr>
          <w:rFonts w:ascii="Calibri" w:eastAsia="Microsoft YaHei"/>
          <w:color w:val="1A2330"/>
          <w:sz w:val="22"/>
          <w:szCs w:val="22"/>
        </w:rPr>
        <w:t xml:space="preserve">Deliverables: Messaging architecture · LinkedIn content calendar · Exhibition creative suite.</w:t>
      </w:r>
    </w:p>
    <w:p>
      <w:pPr>
        <w:pStyle w:val="ListParagraph"/>
        <w:numPr>
          <w:ilvl w:val="0"/>
          <w:numId w:val="1"/>
        </w:numPr>
        <w:spacing w:after="60" w:line="312"/>
      </w:pPr>
      <w:r>
        <w:rPr>
          <w:rFonts w:ascii="Calibri" w:eastAsia="Microsoft YaHei"/>
          <w:color w:val="1A2330"/>
          <w:sz w:val="22"/>
          <w:szCs w:val="22"/>
        </w:rPr>
        <w:t xml:space="preserve">Result: 2.4× LinkedIn engagement in 90 days (draft estimate — verify before publish).</w:t>
      </w:r>
    </w:p>
    <w:p>
      <w:pPr>
        <w:pStyle w:val="Heading3"/>
        <w:spacing w:after="100" w:before="220" w:line="312"/>
      </w:pPr>
      <w:bookmarkStart w:id="100042" w:name="_Toc100042"/>
      <w:r>
        <w:rPr>
          <w:rFonts w:ascii="Calibri" w:eastAsia="SimHei"/>
          <w:b/>
          <w:bCs/>
          <w:color w:val="0B1220"/>
          <w:sz w:val="24"/>
          <w:szCs w:val="24"/>
        </w:rPr>
        <w:t xml:space="preserve">Waterpik — Established consumer brand</w:t>
      </w:r>
      <w:bookmarkEnd w:id="100042"/>
    </w:p>
    <w:p>
      <w:pPr>
        <w:pStyle w:val="ListParagraph"/>
        <w:numPr>
          <w:ilvl w:val="0"/>
          <w:numId w:val="1"/>
        </w:numPr>
        <w:spacing w:after="60" w:line="312"/>
      </w:pPr>
      <w:r>
        <w:rPr>
          <w:rFonts w:ascii="Calibri" w:eastAsia="Microsoft YaHei"/>
          <w:color w:val="1A2330"/>
          <w:sz w:val="22"/>
          <w:szCs w:val="22"/>
        </w:rPr>
        <w:t xml:space="preserve">Challenge: Strong global brand requiring regional campaign localization and a cleaner retail-to-clinic digital journey.</w:t>
      </w:r>
    </w:p>
    <w:p>
      <w:pPr>
        <w:pStyle w:val="ListParagraph"/>
        <w:numPr>
          <w:ilvl w:val="0"/>
          <w:numId w:val="1"/>
        </w:numPr>
        <w:spacing w:after="60" w:line="312"/>
      </w:pPr>
      <w:r>
        <w:rPr>
          <w:rFonts w:ascii="Calibri" w:eastAsia="Microsoft YaHei"/>
          <w:color w:val="1A2330"/>
          <w:sz w:val="22"/>
          <w:szCs w:val="22"/>
        </w:rPr>
        <w:t xml:space="preserve">Strategy: Localize creative region-by-region; rebuild retail landing pages for conversion rather than awareness.</w:t>
      </w:r>
    </w:p>
    <w:p>
      <w:pPr>
        <w:pStyle w:val="ListParagraph"/>
        <w:numPr>
          <w:ilvl w:val="0"/>
          <w:numId w:val="1"/>
        </w:numPr>
        <w:spacing w:after="60" w:line="312"/>
      </w:pPr>
      <w:r>
        <w:rPr>
          <w:rFonts w:ascii="Calibri" w:eastAsia="Microsoft YaHei"/>
          <w:color w:val="1A2330"/>
          <w:sz w:val="22"/>
          <w:szCs w:val="22"/>
        </w:rPr>
        <w:t xml:space="preserve">ICEBERG Execution: Regional creative localization, retail landing-page optimization, integrated MEA media buying.</w:t>
      </w:r>
    </w:p>
    <w:p>
      <w:pPr>
        <w:pStyle w:val="ListParagraph"/>
        <w:numPr>
          <w:ilvl w:val="0"/>
          <w:numId w:val="1"/>
        </w:numPr>
        <w:spacing w:after="60" w:line="312"/>
      </w:pPr>
      <w:r>
        <w:rPr>
          <w:rFonts w:ascii="Calibri" w:eastAsia="Microsoft YaHei"/>
          <w:color w:val="1A2330"/>
          <w:sz w:val="22"/>
          <w:szCs w:val="22"/>
        </w:rPr>
        <w:t xml:space="preserve">Deliverables: Localized creative · Retail landing pages · MEA media buying.</w:t>
      </w:r>
    </w:p>
    <w:p>
      <w:pPr>
        <w:pStyle w:val="ListParagraph"/>
        <w:numPr>
          <w:ilvl w:val="0"/>
          <w:numId w:val="1"/>
        </w:numPr>
        <w:spacing w:after="60" w:line="312"/>
      </w:pPr>
      <w:r>
        <w:rPr>
          <w:rFonts w:ascii="Calibri" w:eastAsia="Microsoft YaHei"/>
          <w:color w:val="1A2330"/>
          <w:sz w:val="22"/>
          <w:szCs w:val="22"/>
        </w:rPr>
        <w:t xml:space="preserve">Result: +27% regional ROAS (draft estimate — verify before publish).</w:t>
      </w:r>
    </w:p>
    <w:p>
      <w:pPr>
        <w:pStyle w:val="Heading3"/>
        <w:spacing w:after="100" w:before="220" w:line="312"/>
      </w:pPr>
      <w:bookmarkStart w:id="100043" w:name="_Toc100043"/>
      <w:r>
        <w:rPr>
          <w:rFonts w:ascii="Calibri" w:eastAsia="SimHei"/>
          <w:b/>
          <w:bCs/>
          <w:color w:val="0B1220"/>
          <w:sz w:val="24"/>
          <w:szCs w:val="24"/>
        </w:rPr>
        <w:t xml:space="preserve">Acceptance Criteria</w:t>
      </w:r>
      <w:bookmarkEnd w:id="100043"/>
    </w:p>
    <w:p>
      <w:pPr>
        <w:pStyle w:val="ListParagraph"/>
        <w:numPr>
          <w:ilvl w:val="0"/>
          <w:numId w:val="1"/>
        </w:numPr>
        <w:spacing w:after="60" w:line="312"/>
      </w:pPr>
      <w:r>
        <w:rPr>
          <w:rFonts w:ascii="Calibri" w:eastAsia="Microsoft YaHei"/>
          <w:color w:val="1A2330"/>
          <w:sz w:val="22"/>
          <w:szCs w:val="22"/>
        </w:rPr>
        <w:t xml:space="preserve">Three case-study cards display in a single row at 1280px; stack vertically at 768px and below.</w:t>
      </w:r>
    </w:p>
    <w:p>
      <w:pPr>
        <w:pStyle w:val="ListParagraph"/>
        <w:numPr>
          <w:ilvl w:val="0"/>
          <w:numId w:val="1"/>
        </w:numPr>
        <w:spacing w:after="60" w:line="312"/>
      </w:pPr>
      <w:r>
        <w:rPr>
          <w:rFonts w:ascii="Calibri" w:eastAsia="Microsoft YaHei"/>
          <w:color w:val="1A2330"/>
          <w:sz w:val="22"/>
          <w:szCs w:val="22"/>
        </w:rPr>
        <w:t xml:space="preserve">Each View Case Study CTA navigates to /idex/case-study/{slug} and the destination page loads in under 2s.</w:t>
      </w:r>
    </w:p>
    <w:p>
      <w:pPr>
        <w:pStyle w:val="ListParagraph"/>
        <w:numPr>
          <w:ilvl w:val="0"/>
          <w:numId w:val="1"/>
        </w:numPr>
        <w:spacing w:after="60" w:line="312"/>
      </w:pPr>
      <w:r>
        <w:rPr>
          <w:rFonts w:ascii="Calibri" w:eastAsia="Microsoft YaHei"/>
          <w:color w:val="1A2330"/>
          <w:sz w:val="22"/>
          <w:szCs w:val="22"/>
        </w:rPr>
        <w:t xml:space="preserve">Draft disclaimer is visible without scrolling at the bottom of the section.</w:t>
      </w:r>
    </w:p>
    <w:p>
      <w:pPr>
        <w:pStyle w:val="Heading2"/>
        <w:spacing w:after="120" w:before="280" w:line="312"/>
      </w:pPr>
      <w:bookmarkStart w:id="100044" w:name="_Toc100044"/>
      <w:r>
        <w:rPr>
          <w:rFonts w:ascii="Calibri" w:eastAsia="SimHei"/>
          <w:b/>
          <w:bCs/>
          <w:color w:val="0B1220"/>
          <w:sz w:val="28"/>
          <w:szCs w:val="28"/>
        </w:rPr>
        <w:t xml:space="preserve">3.6 Section 06 — Free IDEX Digital Audit (Lead Magnet)</w:t>
      </w:r>
      <w:bookmarkEnd w:id="100044"/>
    </w:p>
    <w:p>
      <w:pPr>
        <w:pStyle w:val="Heading3"/>
        <w:spacing w:after="100" w:before="220" w:line="312"/>
      </w:pPr>
      <w:bookmarkStart w:id="100045" w:name="_Toc100045"/>
      <w:r>
        <w:rPr>
          <w:rFonts w:ascii="Calibri" w:eastAsia="SimHei"/>
          <w:b/>
          <w:bCs/>
          <w:color w:val="0B1220"/>
          <w:sz w:val="24"/>
          <w:szCs w:val="24"/>
        </w:rPr>
        <w:t xml:space="preserve">Purpose</w:t>
      </w:r>
      <w:bookmarkEnd w:id="100045"/>
    </w:p>
    <w:p>
      <w:pPr>
        <w:spacing w:after="100" w:line="312"/>
        <w:ind w:firstLine="0"/>
        <w:jc w:val="both"/>
      </w:pPr>
      <w:r>
        <w:rPr>
          <w:rFonts w:ascii="Calibri" w:eastAsia="Microsoft YaHei"/>
          <w:color w:val="1A2330"/>
          <w:sz w:val="22"/>
          <w:szCs w:val="22"/>
        </w:rPr>
        <w:t xml:space="preserve">This is the primary lead magnet. The Free IDEX Digital Opportunity Audit converts visitors who are not yet ready to book a consultation but want value first. The audit itself is delivered by ICEBERG's AI-assisted audit workflow and returned to the prospect as a personalized report — the form on this section captures the lead and triggers the audit workflow.</w:t>
      </w:r>
    </w:p>
    <w:p>
      <w:pPr>
        <w:pStyle w:val="Heading3"/>
        <w:spacing w:after="100" w:before="220" w:line="312"/>
      </w:pPr>
      <w:bookmarkStart w:id="100046" w:name="_Toc100046"/>
      <w:r>
        <w:rPr>
          <w:rFonts w:ascii="Calibri" w:eastAsia="SimHei"/>
          <w:b/>
          <w:bCs/>
          <w:color w:val="0B1220"/>
          <w:sz w:val="24"/>
          <w:szCs w:val="24"/>
        </w:rPr>
        <w:t xml:space="preserve">Wireframe</w:t>
      </w:r>
      <w:bookmarkEnd w:id="100046"/>
    </w:p>
    <w:tbl>
      <w:tblPr>
        <w:tblW w:type="pct" w:w="100%"/>
        <w:tblBorders>
          <w:top w:val="single" w:color="D4875A" w:sz="2"/>
          <w:left w:val="none"/>
          <w:bottom w:val="single" w:color="D4875A" w:sz="2"/>
          <w:right w:val="none"/>
          <w:insideH w:val="single" w:color="DDD0C8" w:sz="1"/>
          <w:insideV w:val="none"/>
        </w:tblBorders>
        <w:tblLayout w:type="fixed"/>
      </w:tblPr>
      <w:tblGrid>
        <w:gridCol w:w="100"/>
      </w:tblGrid>
      <w:tr>
        <w:trPr>
          <w:cantSplit/>
          <w:tblHeader/>
        </w:trPr>
        <w:tc>
          <w:tcPr>
            <w:tcW w:type="pct" w:w="100%"/>
            <w:shd w:fill="D4875A" w:val="clear"/>
            <w:tcMar>
              <w:top w:type="dxa" w:w="60"/>
              <w:left w:type="dxa" w:w="120"/>
              <w:bottom w:type="dxa" w:w="60"/>
              <w:right w:type="dxa" w:w="120"/>
            </w:tcMar>
          </w:tcPr>
          <w:p>
            <w:r>
              <w:rPr>
                <w:rFonts w:ascii="Calibri" w:eastAsia="SimHei"/>
                <w:b/>
                <w:bCs/>
                <w:color w:val="FFFFFF"/>
                <w:sz w:val="18"/>
                <w:szCs w:val="18"/>
              </w:rPr>
              <w:t xml:space="preserve">Figure 7 — Free Digital Audit Section Wireframe</w:t>
            </w:r>
          </w:p>
        </w:tc>
      </w:tr>
      <w:tr>
        <w:trPr>
          <w:cantSplit/>
        </w:trPr>
        <w:tc>
          <w:tcPr>
            <w:tcW w:type="pct" w:w="100%"/>
            <w:shd w:fill="FBFBFB" w:val="clear"/>
            <w:tcMar>
              <w:top w:type="dxa" w:w="100"/>
              <w:left w:type="dxa" w:w="140"/>
              <w:bottom w:type="dxa" w:w="100"/>
              <w:right w:type="dxa" w:w="140"/>
            </w:tcMar>
          </w:tcPr>
          <w:p>
            <w:pPr>
              <w:spacing w:after="0" w:line="240"/>
            </w:pPr>
            <w:r>
              <w:rPr>
                <w:rFonts w:ascii="Courier New" w:eastAsia="Courier New"/>
                <w:color w:val="1A2330"/>
                <w:sz w:val="16"/>
                <w:szCs w:val="16"/>
              </w:rPr>
              <w:t xml:space="preserve">┌────────────────────────────────────────────────────────────┐</w:t>
            </w:r>
          </w:p>
          <w:p>
            <w:pPr>
              <w:spacing w:after="0" w:line="240"/>
            </w:pPr>
            <w:r>
              <w:rPr>
                <w:rFonts w:ascii="Courier New" w:eastAsia="Courier New"/>
                <w:color w:val="1A2330"/>
                <w:sz w:val="16"/>
                <w:szCs w:val="16"/>
              </w:rPr>
              <w:t xml:space="preserve">│  H2:  Not Sure What Your Brand Needs Before IDEX?         │</w:t>
            </w:r>
          </w:p>
          <w:p>
            <w:pPr>
              <w:spacing w:after="0" w:line="240"/>
            </w:pPr>
            <w:r>
              <w:rPr>
                <w:rFonts w:ascii="Courier New" w:eastAsia="Courier New"/>
                <w:color w:val="1A2330"/>
                <w:sz w:val="16"/>
                <w:szCs w:val="16"/>
              </w:rPr>
              <w:t xml:space="preserve">│  sub: Get a Free IDEX Digital Opportunity Audit.           │</w:t>
            </w:r>
          </w:p>
          <w:p>
            <w:pPr>
              <w:spacing w:after="0" w:line="240"/>
            </w:pPr>
            <w:r>
              <w:rPr>
                <w:rFonts w:ascii="Courier New" w:eastAsia="Courier New"/>
                <w:color w:val="1A2330"/>
                <w:sz w:val="16"/>
                <w:szCs w:val="16"/>
              </w:rPr>
              <w:t xml:space="preserve">│                                                            │</w:t>
            </w:r>
          </w:p>
          <w:p>
            <w:pPr>
              <w:spacing w:after="0" w:line="240"/>
            </w:pPr>
            <w:r>
              <w:rPr>
                <w:rFonts w:ascii="Courier New" w:eastAsia="Courier New"/>
                <w:color w:val="1A2330"/>
                <w:sz w:val="16"/>
                <w:szCs w:val="16"/>
              </w:rPr>
              <w:t xml:space="preserve">│  ┌──────────────────────────┐  ┌────────────────────────┐  │</w:t>
            </w:r>
          </w:p>
          <w:p>
            <w:pPr>
              <w:spacing w:after="0" w:line="240"/>
            </w:pPr>
            <w:r>
              <w:rPr>
                <w:rFonts w:ascii="Courier New" w:eastAsia="Courier New"/>
                <w:color w:val="1A2330"/>
                <w:sz w:val="16"/>
                <w:szCs w:val="16"/>
              </w:rPr>
              <w:t xml:space="preserve">│  │ Audit covers:            │  │ Lead capture form       │  │</w:t>
            </w:r>
          </w:p>
          <w:p>
            <w:pPr>
              <w:spacing w:after="0" w:line="240"/>
            </w:pPr>
            <w:r>
              <w:rPr>
                <w:rFonts w:ascii="Courier New" w:eastAsia="Courier New"/>
                <w:color w:val="1A2330"/>
                <w:sz w:val="16"/>
                <w:szCs w:val="16"/>
              </w:rPr>
              <w:t xml:space="preserve">│  │  ✓ Website               │  │  ┌──────────────────┐  │  │</w:t>
            </w:r>
          </w:p>
          <w:p>
            <w:pPr>
              <w:spacing w:after="0" w:line="240"/>
            </w:pPr>
            <w:r>
              <w:rPr>
                <w:rFonts w:ascii="Courier New" w:eastAsia="Courier New"/>
                <w:color w:val="1A2330"/>
                <w:sz w:val="16"/>
                <w:szCs w:val="16"/>
              </w:rPr>
              <w:t xml:space="preserve">│  │  ✓ Branding              │  │  │ Name             │  │  │</w:t>
            </w:r>
          </w:p>
          <w:p>
            <w:pPr>
              <w:spacing w:after="0" w:line="240"/>
            </w:pPr>
            <w:r>
              <w:rPr>
                <w:rFonts w:ascii="Courier New" w:eastAsia="Courier New"/>
                <w:color w:val="1A2330"/>
                <w:sz w:val="16"/>
                <w:szCs w:val="16"/>
              </w:rPr>
              <w:t xml:space="preserve">│  │  ✓ Social Media          │  │  │ Company          │  │  │</w:t>
            </w:r>
          </w:p>
          <w:p>
            <w:pPr>
              <w:spacing w:after="0" w:line="240"/>
            </w:pPr>
            <w:r>
              <w:rPr>
                <w:rFonts w:ascii="Courier New" w:eastAsia="Courier New"/>
                <w:color w:val="1A2330"/>
                <w:sz w:val="16"/>
                <w:szCs w:val="16"/>
              </w:rPr>
              <w:t xml:space="preserve">│  │  ✓ Content               │  │  │ Website          │  │  │</w:t>
            </w:r>
          </w:p>
          <w:p>
            <w:pPr>
              <w:spacing w:after="0" w:line="240"/>
            </w:pPr>
            <w:r>
              <w:rPr>
                <w:rFonts w:ascii="Courier New" w:eastAsia="Courier New"/>
                <w:color w:val="1A2330"/>
                <w:sz w:val="16"/>
                <w:szCs w:val="16"/>
              </w:rPr>
              <w:t xml:space="preserve">│  │  ✓ Digital Marketing     │  │  │ Email            │  │  │</w:t>
            </w:r>
          </w:p>
          <w:p>
            <w:pPr>
              <w:spacing w:after="0" w:line="240"/>
            </w:pPr>
            <w:r>
              <w:rPr>
                <w:rFonts w:ascii="Courier New" w:eastAsia="Courier New"/>
                <w:color w:val="1A2330"/>
                <w:sz w:val="16"/>
                <w:szCs w:val="16"/>
              </w:rPr>
              <w:t xml:space="preserve">│  │  ✓ Customer Journey      │  │  │ Phone            │  │  │</w:t>
            </w:r>
          </w:p>
          <w:p>
            <w:pPr>
              <w:spacing w:after="0" w:line="240"/>
            </w:pPr>
            <w:r>
              <w:rPr>
                <w:rFonts w:ascii="Courier New" w:eastAsia="Courier New"/>
                <w:color w:val="1A2330"/>
                <w:sz w:val="16"/>
                <w:szCs w:val="16"/>
              </w:rPr>
              <w:t xml:space="preserve">│  │  ✓ Lead Gen Opportunities│  │  │ Industry         │  │  │</w:t>
            </w:r>
          </w:p>
          <w:p>
            <w:pPr>
              <w:spacing w:after="0" w:line="240"/>
            </w:pPr>
            <w:r>
              <w:rPr>
                <w:rFonts w:ascii="Courier New" w:eastAsia="Courier New"/>
                <w:color w:val="1A2330"/>
                <w:sz w:val="16"/>
                <w:szCs w:val="16"/>
              </w:rPr>
              <w:t xml:space="preserve">│  │                          │  │  └──────────────────┘  │  │</w:t>
            </w:r>
          </w:p>
          <w:p>
            <w:pPr>
              <w:spacing w:after="0" w:line="240"/>
            </w:pPr>
            <w:r>
              <w:rPr>
                <w:rFonts w:ascii="Courier New" w:eastAsia="Courier New"/>
                <w:color w:val="1A2330"/>
                <w:sz w:val="16"/>
                <w:szCs w:val="16"/>
              </w:rPr>
              <w:t xml:space="preserve">│  │                          │  │  [ Request My Free   │  │  │</w:t>
            </w:r>
          </w:p>
          <w:p>
            <w:pPr>
              <w:spacing w:after="0" w:line="240"/>
            </w:pPr>
            <w:r>
              <w:rPr>
                <w:rFonts w:ascii="Courier New" w:eastAsia="Courier New"/>
                <w:color w:val="1A2330"/>
                <w:sz w:val="16"/>
                <w:szCs w:val="16"/>
              </w:rPr>
              <w:t xml:space="preserve">│  │                          │  │    Audit ]           │  │  │</w:t>
            </w:r>
          </w:p>
          <w:p>
            <w:pPr>
              <w:spacing w:after="0" w:line="240"/>
            </w:pPr>
            <w:r>
              <w:rPr>
                <w:rFonts w:ascii="Courier New" w:eastAsia="Courier New"/>
                <w:color w:val="1A2330"/>
                <w:sz w:val="16"/>
                <w:szCs w:val="16"/>
              </w:rPr>
              <w:t xml:space="preserve">│  └──────────────────────────┘  └────────────────────────┘  │</w:t>
            </w:r>
          </w:p>
          <w:p>
            <w:pPr>
              <w:spacing w:after="0" w:line="240"/>
            </w:pPr>
            <w:r>
              <w:rPr>
                <w:rFonts w:ascii="Courier New" w:eastAsia="Courier New"/>
                <w:color w:val="1A2330"/>
                <w:sz w:val="16"/>
                <w:szCs w:val="16"/>
              </w:rPr>
              <w:t xml:space="preserve">└────────────────────────────────────────────────────────────┘</w:t>
            </w:r>
          </w:p>
        </w:tc>
      </w:tr>
    </w:tbl>
    <w:p>
      <w:pPr>
        <w:pStyle w:val="Heading3"/>
        <w:spacing w:after="100" w:before="220" w:line="312"/>
      </w:pPr>
      <w:bookmarkStart w:id="100047" w:name="_Toc100047"/>
      <w:r>
        <w:rPr>
          <w:rFonts w:ascii="Calibri" w:eastAsia="SimHei"/>
          <w:b/>
          <w:bCs/>
          <w:color w:val="0B1220"/>
          <w:sz w:val="24"/>
          <w:szCs w:val="24"/>
        </w:rPr>
        <w:t xml:space="preserve">Audit Scope Fields</w:t>
      </w:r>
      <w:bookmarkEnd w:id="100047"/>
    </w:p>
    <w:p>
      <w:pPr>
        <w:spacing w:after="100" w:line="312"/>
        <w:ind w:firstLine="0"/>
        <w:jc w:val="both"/>
      </w:pPr>
      <w:r>
        <w:rPr>
          <w:rFonts w:ascii="Calibri" w:eastAsia="Microsoft YaHei"/>
          <w:color w:val="1A2330"/>
          <w:sz w:val="22"/>
          <w:szCs w:val="22"/>
        </w:rPr>
        <w:t xml:space="preserve">The audit covers seven surfaces. Each surface is presented as a checkmark item with a one-line descriptor accessible via tooltip on hover.</w:t>
      </w:r>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tblGrid>
      <w:tr>
        <w:trPr>
          <w:cantSplit/>
          <w:tblHeader/>
        </w:trPr>
        <w:tc>
          <w:tcPr>
            <w:tcW w:type="pct" w:w="30%"/>
            <w:shd w:fill="D4875A" w:val="clear"/>
            <w:tcMar>
              <w:top w:type="dxa" w:w="80"/>
              <w:left w:type="dxa" w:w="120"/>
              <w:bottom w:type="dxa" w:w="80"/>
              <w:right w:type="dxa" w:w="120"/>
            </w:tcMar>
          </w:tcPr>
          <w:p>
            <w:pPr>
              <w:jc w:val="left"/>
            </w:pPr>
            <w:r>
              <w:rPr>
                <w:rFonts w:ascii="Calibri" w:eastAsia="SimHei"/>
                <w:b/>
                <w:bCs/>
                <w:color w:val="FFFFFF"/>
                <w:sz w:val="20"/>
                <w:szCs w:val="20"/>
              </w:rPr>
              <w:t xml:space="preserve">Audit Surface</w:t>
            </w:r>
          </w:p>
        </w:tc>
        <w:tc>
          <w:tcPr>
            <w:tcW w:type="pct" w:w="70%"/>
            <w:shd w:fill="D4875A" w:val="clear"/>
            <w:tcMar>
              <w:top w:type="dxa" w:w="80"/>
              <w:left w:type="dxa" w:w="120"/>
              <w:bottom w:type="dxa" w:w="80"/>
              <w:right w:type="dxa" w:w="120"/>
            </w:tcMar>
          </w:tcPr>
          <w:p>
            <w:pPr>
              <w:jc w:val="left"/>
            </w:pPr>
            <w:r>
              <w:rPr>
                <w:rFonts w:ascii="Calibri" w:eastAsia="SimHei"/>
                <w:b/>
                <w:bCs/>
                <w:color w:val="FFFFFF"/>
                <w:sz w:val="20"/>
                <w:szCs w:val="20"/>
              </w:rPr>
              <w:t xml:space="preserve">What we evaluate</w:t>
            </w:r>
          </w:p>
        </w:tc>
      </w:tr>
      <w:tr>
        <w:trPr>
          <w:cantSplit/>
        </w:trPr>
        <w:tc>
          <w:tcPr>
            <w:tcW w:type="pct" w:w="3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Website</w:t>
            </w:r>
          </w:p>
        </w:tc>
        <w:tc>
          <w:tcPr>
            <w:tcW w:type="pct" w:w="7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Load speed, structure, mobile UX, conversion paths.</w:t>
            </w:r>
          </w:p>
        </w:tc>
      </w:tr>
      <w:tr>
        <w:trPr>
          <w:cantSplit/>
        </w:trPr>
        <w:tc>
          <w:tcPr>
            <w:tcW w:type="pct" w:w="3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Branding</w:t>
            </w:r>
          </w:p>
        </w:tc>
        <w:tc>
          <w:tcPr>
            <w:tcW w:type="pct" w:w="7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Visual consistency, messaging clarity, positioning strength.</w:t>
            </w:r>
          </w:p>
        </w:tc>
      </w:tr>
      <w:tr>
        <w:trPr>
          <w:cantSplit/>
        </w:trPr>
        <w:tc>
          <w:tcPr>
            <w:tcW w:type="pct" w:w="3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Social Media</w:t>
            </w:r>
          </w:p>
        </w:tc>
        <w:tc>
          <w:tcPr>
            <w:tcW w:type="pct" w:w="7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Channel presence, posting cadence, engagement rate.</w:t>
            </w:r>
          </w:p>
        </w:tc>
      </w:tr>
      <w:tr>
        <w:trPr>
          <w:cantSplit/>
        </w:trPr>
        <w:tc>
          <w:tcPr>
            <w:tcW w:type="pct" w:w="3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Content</w:t>
            </w:r>
          </w:p>
        </w:tc>
        <w:tc>
          <w:tcPr>
            <w:tcW w:type="pct" w:w="7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Editorial quality, SEO coverage, lead-magnet availability.</w:t>
            </w:r>
          </w:p>
        </w:tc>
      </w:tr>
      <w:tr>
        <w:trPr>
          <w:cantSplit/>
        </w:trPr>
        <w:tc>
          <w:tcPr>
            <w:tcW w:type="pct" w:w="3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Digital Marketing</w:t>
            </w:r>
          </w:p>
        </w:tc>
        <w:tc>
          <w:tcPr>
            <w:tcW w:type="pct" w:w="7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Paid channels active, funnel coverage, attribution setup.</w:t>
            </w:r>
          </w:p>
        </w:tc>
      </w:tr>
      <w:tr>
        <w:trPr>
          <w:cantSplit/>
        </w:trPr>
        <w:tc>
          <w:tcPr>
            <w:tcW w:type="pct" w:w="3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Customer Journey</w:t>
            </w:r>
          </w:p>
        </w:tc>
        <w:tc>
          <w:tcPr>
            <w:tcW w:type="pct" w:w="7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Awareness → consideration → conversion path clarity.</w:t>
            </w:r>
          </w:p>
        </w:tc>
      </w:tr>
      <w:tr>
        <w:trPr>
          <w:cantSplit/>
        </w:trPr>
        <w:tc>
          <w:tcPr>
            <w:tcW w:type="pct" w:w="3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Lead Generation Opportunities</w:t>
            </w:r>
          </w:p>
        </w:tc>
        <w:tc>
          <w:tcPr>
            <w:tcW w:type="pct" w:w="7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Form placements, CTAs, lead-magnet offers, retargeting.</w:t>
            </w:r>
          </w:p>
        </w:tc>
      </w:tr>
    </w:tbl>
    <w:p>
      <w:pPr>
        <w:pStyle w:val="Heading3"/>
        <w:spacing w:after="100" w:before="220" w:line="312"/>
      </w:pPr>
      <w:bookmarkStart w:id="100048" w:name="_Toc100048"/>
      <w:r>
        <w:rPr>
          <w:rFonts w:ascii="Calibri" w:eastAsia="SimHei"/>
          <w:b/>
          <w:bCs/>
          <w:color w:val="0B1220"/>
          <w:sz w:val="24"/>
          <w:szCs w:val="24"/>
        </w:rPr>
        <w:t xml:space="preserve">Lead Capture Form Fields</w:t>
      </w:r>
      <w:bookmarkEnd w:id="100048"/>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gridCol w:w="100"/>
      </w:tblGrid>
      <w:tr>
        <w:trPr>
          <w:cantSplit/>
          <w:tblHeader/>
        </w:trPr>
        <w:tc>
          <w:tcPr>
            <w:tcW w:type="pct" w:w="40%"/>
            <w:shd w:fill="D4875A" w:val="clear"/>
            <w:tcMar>
              <w:top w:type="dxa" w:w="80"/>
              <w:left w:type="dxa" w:w="120"/>
              <w:bottom w:type="dxa" w:w="80"/>
              <w:right w:type="dxa" w:w="120"/>
            </w:tcMar>
          </w:tcPr>
          <w:p>
            <w:pPr>
              <w:jc w:val="left"/>
            </w:pPr>
            <w:r>
              <w:rPr>
                <w:rFonts w:ascii="Calibri" w:eastAsia="SimHei"/>
                <w:b/>
                <w:bCs/>
                <w:color w:val="FFFFFF"/>
                <w:sz w:val="20"/>
                <w:szCs w:val="20"/>
              </w:rPr>
              <w:t xml:space="preserve">Field</w:t>
            </w:r>
          </w:p>
        </w:tc>
        <w:tc>
          <w:tcPr>
            <w:tcW w:type="pct" w:w="40%"/>
            <w:shd w:fill="D4875A" w:val="clear"/>
            <w:tcMar>
              <w:top w:type="dxa" w:w="80"/>
              <w:left w:type="dxa" w:w="120"/>
              <w:bottom w:type="dxa" w:w="80"/>
              <w:right w:type="dxa" w:w="120"/>
            </w:tcMar>
          </w:tcPr>
          <w:p>
            <w:pPr>
              <w:jc w:val="left"/>
            </w:pPr>
            <w:r>
              <w:rPr>
                <w:rFonts w:ascii="Calibri" w:eastAsia="SimHei"/>
                <w:b/>
                <w:bCs/>
                <w:color w:val="FFFFFF"/>
                <w:sz w:val="20"/>
                <w:szCs w:val="20"/>
              </w:rPr>
              <w:t xml:space="preserve">Type</w:t>
            </w:r>
          </w:p>
        </w:tc>
        <w:tc>
          <w:tcPr>
            <w:tcW w:type="pct" w:w="20%"/>
            <w:shd w:fill="D4875A" w:val="clear"/>
            <w:tcMar>
              <w:top w:type="dxa" w:w="80"/>
              <w:left w:type="dxa" w:w="120"/>
              <w:bottom w:type="dxa" w:w="80"/>
              <w:right w:type="dxa" w:w="120"/>
            </w:tcMar>
          </w:tcPr>
          <w:p>
            <w:pPr>
              <w:jc w:val="left"/>
            </w:pPr>
            <w:r>
              <w:rPr>
                <w:rFonts w:ascii="Calibri" w:eastAsia="SimHei"/>
                <w:b/>
                <w:bCs/>
                <w:color w:val="FFFFFF"/>
                <w:sz w:val="20"/>
                <w:szCs w:val="20"/>
              </w:rPr>
              <w:t xml:space="preserve">Required</w:t>
            </w:r>
          </w:p>
        </w:tc>
      </w:tr>
      <w:tr>
        <w:trPr>
          <w:cantSplit/>
        </w:trPr>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Name</w:t>
            </w:r>
          </w:p>
        </w:tc>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text</w:t>
            </w:r>
          </w:p>
        </w:tc>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Yes</w:t>
            </w:r>
          </w:p>
        </w:tc>
      </w:tr>
      <w:tr>
        <w:trPr>
          <w:cantSplit/>
        </w:trPr>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Company</w:t>
            </w:r>
          </w:p>
        </w:tc>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text</w:t>
            </w:r>
          </w:p>
        </w:tc>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Yes</w:t>
            </w:r>
          </w:p>
        </w:tc>
      </w:tr>
      <w:tr>
        <w:trPr>
          <w:cantSplit/>
        </w:trPr>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Website</w:t>
            </w:r>
          </w:p>
        </w:tc>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url</w:t>
            </w:r>
          </w:p>
        </w:tc>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Yes</w:t>
            </w:r>
          </w:p>
        </w:tc>
      </w:tr>
      <w:tr>
        <w:trPr>
          <w:cantSplit/>
        </w:trPr>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Email</w:t>
            </w:r>
          </w:p>
        </w:tc>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email</w:t>
            </w:r>
          </w:p>
        </w:tc>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Yes</w:t>
            </w:r>
          </w:p>
        </w:tc>
      </w:tr>
      <w:tr>
        <w:trPr>
          <w:cantSplit/>
        </w:trPr>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Phone</w:t>
            </w:r>
          </w:p>
        </w:tc>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tel</w:t>
            </w:r>
          </w:p>
        </w:tc>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No (recommended)</w:t>
            </w:r>
          </w:p>
        </w:tc>
      </w:tr>
      <w:tr>
        <w:trPr>
          <w:cantSplit/>
        </w:trPr>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Industry</w:t>
            </w:r>
          </w:p>
        </w:tc>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select (dropdown)</w:t>
            </w:r>
          </w:p>
        </w:tc>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Yes</w:t>
            </w:r>
          </w:p>
        </w:tc>
      </w:tr>
      <w:tr>
        <w:trPr>
          <w:cantSplit/>
        </w:trPr>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What are you looking for?</w:t>
            </w:r>
          </w:p>
        </w:tc>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multi-select checkboxes</w:t>
            </w:r>
          </w:p>
        </w:tc>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Yes</w:t>
            </w:r>
          </w:p>
        </w:tc>
      </w:tr>
    </w:tbl>
    <w:p>
      <w:pPr>
        <w:pStyle w:val="Heading3"/>
        <w:spacing w:after="100" w:before="220" w:line="312"/>
      </w:pPr>
      <w:bookmarkStart w:id="100049" w:name="_Toc100049"/>
      <w:r>
        <w:rPr>
          <w:rFonts w:ascii="Calibri" w:eastAsia="SimHei"/>
          <w:b/>
          <w:bCs/>
          <w:color w:val="0B1220"/>
          <w:sz w:val="24"/>
          <w:szCs w:val="24"/>
        </w:rPr>
        <w:t xml:space="preserve">Behavior</w:t>
      </w:r>
      <w:bookmarkEnd w:id="100049"/>
    </w:p>
    <w:p>
      <w:pPr>
        <w:pStyle w:val="ListParagraph"/>
        <w:numPr>
          <w:ilvl w:val="0"/>
          <w:numId w:val="1"/>
        </w:numPr>
        <w:spacing w:after="60" w:line="312"/>
      </w:pPr>
      <w:r>
        <w:rPr>
          <w:rFonts w:ascii="Calibri" w:eastAsia="Microsoft YaHei"/>
          <w:color w:val="1A2330"/>
          <w:sz w:val="22"/>
          <w:szCs w:val="22"/>
        </w:rPr>
        <w:t xml:space="preserve">Form submission POSTs to /api/leads (see Chapter 5 — Lead Management Workflow).</w:t>
      </w:r>
    </w:p>
    <w:p>
      <w:pPr>
        <w:pStyle w:val="ListParagraph"/>
        <w:numPr>
          <w:ilvl w:val="0"/>
          <w:numId w:val="1"/>
        </w:numPr>
        <w:spacing w:after="60" w:line="312"/>
      </w:pPr>
      <w:r>
        <w:rPr>
          <w:rFonts w:ascii="Calibri" w:eastAsia="Microsoft YaHei"/>
          <w:color w:val="1A2330"/>
          <w:sz w:val="22"/>
          <w:szCs w:val="22"/>
        </w:rPr>
        <w:t xml:space="preserve">On success, redirect to /idex/thank-you and fire audit_form_submit GA4 event.</w:t>
      </w:r>
    </w:p>
    <w:p>
      <w:pPr>
        <w:pStyle w:val="ListParagraph"/>
        <w:numPr>
          <w:ilvl w:val="0"/>
          <w:numId w:val="1"/>
        </w:numPr>
        <w:spacing w:after="60" w:line="312"/>
      </w:pPr>
      <w:r>
        <w:rPr>
          <w:rFonts w:ascii="Calibri" w:eastAsia="Microsoft YaHei"/>
          <w:color w:val="1A2330"/>
          <w:sz w:val="22"/>
          <w:szCs w:val="22"/>
        </w:rPr>
        <w:t xml:space="preserve">On error, inline validation messages appear under each invalid field; no page reload.</w:t>
      </w:r>
    </w:p>
    <w:p>
      <w:pPr>
        <w:pStyle w:val="ListParagraph"/>
        <w:numPr>
          <w:ilvl w:val="0"/>
          <w:numId w:val="1"/>
        </w:numPr>
        <w:spacing w:after="60" w:line="312"/>
      </w:pPr>
      <w:r>
        <w:rPr>
          <w:rFonts w:ascii="Calibri" w:eastAsia="Microsoft YaHei"/>
          <w:color w:val="1A2330"/>
          <w:sz w:val="22"/>
          <w:szCs w:val="22"/>
        </w:rPr>
        <w:t xml:space="preserve">Email field validates format on blur; phone field auto-formats to international (+971 …) format.</w:t>
      </w:r>
    </w:p>
    <w:p>
      <w:pPr>
        <w:pStyle w:val="Heading3"/>
        <w:spacing w:after="100" w:before="220" w:line="312"/>
      </w:pPr>
      <w:bookmarkStart w:id="100050" w:name="_Toc100050"/>
      <w:r>
        <w:rPr>
          <w:rFonts w:ascii="Calibri" w:eastAsia="SimHei"/>
          <w:b/>
          <w:bCs/>
          <w:color w:val="0B1220"/>
          <w:sz w:val="24"/>
          <w:szCs w:val="24"/>
        </w:rPr>
        <w:t xml:space="preserve">Acceptance Criteria</w:t>
      </w:r>
      <w:bookmarkEnd w:id="100050"/>
    </w:p>
    <w:p>
      <w:pPr>
        <w:pStyle w:val="ListParagraph"/>
        <w:numPr>
          <w:ilvl w:val="0"/>
          <w:numId w:val="1"/>
        </w:numPr>
        <w:spacing w:after="60" w:line="312"/>
      </w:pPr>
      <w:r>
        <w:rPr>
          <w:rFonts w:ascii="Calibri" w:eastAsia="Microsoft YaHei"/>
          <w:color w:val="1A2330"/>
          <w:sz w:val="22"/>
          <w:szCs w:val="22"/>
        </w:rPr>
        <w:t xml:space="preserve">Form passes WCAG 2.1 AA — every field has an associated &lt;label&gt;, error messages are aria-live.</w:t>
      </w:r>
    </w:p>
    <w:p>
      <w:pPr>
        <w:pStyle w:val="ListParagraph"/>
        <w:numPr>
          <w:ilvl w:val="0"/>
          <w:numId w:val="1"/>
        </w:numPr>
        <w:spacing w:after="60" w:line="312"/>
      </w:pPr>
      <w:r>
        <w:rPr>
          <w:rFonts w:ascii="Calibri" w:eastAsia="Microsoft YaHei"/>
          <w:color w:val="1A2330"/>
          <w:sz w:val="22"/>
          <w:szCs w:val="22"/>
        </w:rPr>
        <w:t xml:space="preserve">Submit button disabled until all required fields are valid; visual indicator shows progress.</w:t>
      </w:r>
    </w:p>
    <w:p>
      <w:pPr>
        <w:pStyle w:val="ListParagraph"/>
        <w:numPr>
          <w:ilvl w:val="0"/>
          <w:numId w:val="1"/>
        </w:numPr>
        <w:spacing w:after="60" w:line="312"/>
      </w:pPr>
      <w:r>
        <w:rPr>
          <w:rFonts w:ascii="Calibri" w:eastAsia="Microsoft YaHei"/>
          <w:color w:val="1A2330"/>
          <w:sz w:val="22"/>
          <w:szCs w:val="22"/>
        </w:rPr>
        <w:t xml:space="preserve">On success, the CRM creates a lead record with source=idex_audit and status=NEW (see Chapter 5).</w:t>
      </w:r>
    </w:p>
    <w:p>
      <w:pPr>
        <w:pStyle w:val="Heading2"/>
        <w:spacing w:after="120" w:before="280" w:line="312"/>
      </w:pPr>
      <w:bookmarkStart w:id="100051" w:name="_Toc100051"/>
      <w:r>
        <w:rPr>
          <w:rFonts w:ascii="Calibri" w:eastAsia="SimHei"/>
          <w:b/>
          <w:bCs/>
          <w:color w:val="0B1220"/>
          <w:sz w:val="28"/>
          <w:szCs w:val="28"/>
        </w:rPr>
        <w:t xml:space="preserve">3.7 Section 07 — IDEX Meeting Calendar</w:t>
      </w:r>
      <w:bookmarkEnd w:id="100051"/>
    </w:p>
    <w:p>
      <w:pPr>
        <w:pStyle w:val="Heading3"/>
        <w:spacing w:after="100" w:before="220" w:line="312"/>
      </w:pPr>
      <w:bookmarkStart w:id="100052" w:name="_Toc100052"/>
      <w:r>
        <w:rPr>
          <w:rFonts w:ascii="Calibri" w:eastAsia="SimHei"/>
          <w:b/>
          <w:bCs/>
          <w:color w:val="0B1220"/>
          <w:sz w:val="24"/>
          <w:szCs w:val="24"/>
        </w:rPr>
        <w:t xml:space="preserve">Purpose</w:t>
      </w:r>
      <w:bookmarkEnd w:id="100052"/>
    </w:p>
    <w:p>
      <w:pPr>
        <w:spacing w:after="100" w:line="312"/>
        <w:ind w:firstLine="0"/>
        <w:jc w:val="both"/>
      </w:pPr>
      <w:r>
        <w:rPr>
          <w:rFonts w:ascii="Calibri" w:eastAsia="Microsoft YaHei"/>
          <w:color w:val="1A2330"/>
          <w:sz w:val="22"/>
          <w:szCs w:val="22"/>
        </w:rPr>
        <w:t xml:space="preserve">Allow visitors to book a consultation meeting directly on the landing page. The calendar widget must connect to ICEBERG's internal calendar (see Chapter 6) so that booked meetings appear in the lead-management workflow with status SCHEDULED. This section is the destination for every primary CTA on the page.</w:t>
      </w:r>
    </w:p>
    <w:p>
      <w:pPr>
        <w:pStyle w:val="Heading3"/>
        <w:spacing w:after="100" w:before="220" w:line="312"/>
      </w:pPr>
      <w:bookmarkStart w:id="100053" w:name="_Toc100053"/>
      <w:r>
        <w:rPr>
          <w:rFonts w:ascii="Calibri" w:eastAsia="SimHei"/>
          <w:b/>
          <w:bCs/>
          <w:color w:val="0B1220"/>
          <w:sz w:val="24"/>
          <w:szCs w:val="24"/>
        </w:rPr>
        <w:t xml:space="preserve">Wireframe</w:t>
      </w:r>
      <w:bookmarkEnd w:id="100053"/>
    </w:p>
    <w:tbl>
      <w:tblPr>
        <w:tblW w:type="pct" w:w="100%"/>
        <w:tblBorders>
          <w:top w:val="single" w:color="D4875A" w:sz="2"/>
          <w:left w:val="none"/>
          <w:bottom w:val="single" w:color="D4875A" w:sz="2"/>
          <w:right w:val="none"/>
          <w:insideH w:val="single" w:color="DDD0C8" w:sz="1"/>
          <w:insideV w:val="none"/>
        </w:tblBorders>
        <w:tblLayout w:type="fixed"/>
      </w:tblPr>
      <w:tblGrid>
        <w:gridCol w:w="100"/>
      </w:tblGrid>
      <w:tr>
        <w:trPr>
          <w:cantSplit/>
          <w:tblHeader/>
        </w:trPr>
        <w:tc>
          <w:tcPr>
            <w:tcW w:type="pct" w:w="100%"/>
            <w:shd w:fill="D4875A" w:val="clear"/>
            <w:tcMar>
              <w:top w:type="dxa" w:w="60"/>
              <w:left w:type="dxa" w:w="120"/>
              <w:bottom w:type="dxa" w:w="60"/>
              <w:right w:type="dxa" w:w="120"/>
            </w:tcMar>
          </w:tcPr>
          <w:p>
            <w:r>
              <w:rPr>
                <w:rFonts w:ascii="Calibri" w:eastAsia="SimHei"/>
                <w:b/>
                <w:bCs/>
                <w:color w:val="FFFFFF"/>
                <w:sz w:val="18"/>
                <w:szCs w:val="18"/>
              </w:rPr>
              <w:t xml:space="preserve">Figure 8 — Meeting Calendar Section Wireframe</w:t>
            </w:r>
          </w:p>
        </w:tc>
      </w:tr>
      <w:tr>
        <w:trPr>
          <w:cantSplit/>
        </w:trPr>
        <w:tc>
          <w:tcPr>
            <w:tcW w:type="pct" w:w="100%"/>
            <w:shd w:fill="FBFBFB" w:val="clear"/>
            <w:tcMar>
              <w:top w:type="dxa" w:w="100"/>
              <w:left w:type="dxa" w:w="140"/>
              <w:bottom w:type="dxa" w:w="100"/>
              <w:right w:type="dxa" w:w="140"/>
            </w:tcMar>
          </w:tcPr>
          <w:p>
            <w:pPr>
              <w:spacing w:after="0" w:line="240"/>
            </w:pPr>
            <w:r>
              <w:rPr>
                <w:rFonts w:ascii="Courier New" w:eastAsia="Courier New"/>
                <w:color w:val="1A2330"/>
                <w:sz w:val="16"/>
                <w:szCs w:val="16"/>
              </w:rPr>
              <w:t xml:space="preserve">┌────────────────────────────────────────────────────────────┐</w:t>
            </w:r>
          </w:p>
          <w:p>
            <w:pPr>
              <w:spacing w:after="0" w:line="240"/>
            </w:pPr>
            <w:r>
              <w:rPr>
                <w:rFonts w:ascii="Courier New" w:eastAsia="Courier New"/>
                <w:color w:val="1A2330"/>
                <w:sz w:val="16"/>
                <w:szCs w:val="16"/>
              </w:rPr>
              <w:t xml:space="preserve">│  H2:  Book Your IDEX Consultation                          │</w:t>
            </w:r>
          </w:p>
          <w:p>
            <w:pPr>
              <w:spacing w:after="0" w:line="240"/>
            </w:pPr>
            <w:r>
              <w:rPr>
                <w:rFonts w:ascii="Courier New" w:eastAsia="Courier New"/>
                <w:color w:val="1A2330"/>
                <w:sz w:val="16"/>
                <w:szCs w:val="16"/>
              </w:rPr>
              <w:t xml:space="preserve">│  sub: Select a date and time that works for you.           │</w:t>
            </w:r>
          </w:p>
          <w:p>
            <w:pPr>
              <w:spacing w:after="0" w:line="240"/>
            </w:pPr>
            <w:r>
              <w:rPr>
                <w:rFonts w:ascii="Courier New" w:eastAsia="Courier New"/>
                <w:color w:val="1A2330"/>
                <w:sz w:val="16"/>
                <w:szCs w:val="16"/>
              </w:rPr>
              <w:t xml:space="preserve">│                                                            │</w:t>
            </w:r>
          </w:p>
          <w:p>
            <w:pPr>
              <w:spacing w:after="0" w:line="240"/>
            </w:pPr>
            <w:r>
              <w:rPr>
                <w:rFonts w:ascii="Courier New" w:eastAsia="Courier New"/>
                <w:color w:val="1A2330"/>
                <w:sz w:val="16"/>
                <w:szCs w:val="16"/>
              </w:rPr>
              <w:t xml:space="preserve">│  ┌────────────────────────┐  ┌─────────────────────────┐   │</w:t>
            </w:r>
          </w:p>
          <w:p>
            <w:pPr>
              <w:spacing w:after="0" w:line="240"/>
            </w:pPr>
            <w:r>
              <w:rPr>
                <w:rFonts w:ascii="Courier New" w:eastAsia="Courier New"/>
                <w:color w:val="1A2330"/>
                <w:sz w:val="16"/>
                <w:szCs w:val="16"/>
              </w:rPr>
              <w:t xml:space="preserve">│  │ Step 1 · Select Date   │  │ Step 3 · Enter Details  │   │</w:t>
            </w:r>
          </w:p>
          <w:p>
            <w:pPr>
              <w:spacing w:after="0" w:line="240"/>
            </w:pPr>
            <w:r>
              <w:rPr>
                <w:rFonts w:ascii="Courier New" w:eastAsia="Courier New"/>
                <w:color w:val="1A2330"/>
                <w:sz w:val="16"/>
                <w:szCs w:val="16"/>
              </w:rPr>
              <w:t xml:space="preserve">│  │  ┌──────────────────┐  │  │  Name:  _______________ │   │</w:t>
            </w:r>
          </w:p>
          <w:p>
            <w:pPr>
              <w:spacing w:after="0" w:line="240"/>
            </w:pPr>
            <w:r>
              <w:rPr>
                <w:rFonts w:ascii="Courier New" w:eastAsia="Courier New"/>
                <w:color w:val="1A2330"/>
                <w:sz w:val="16"/>
                <w:szCs w:val="16"/>
              </w:rPr>
              <w:t xml:space="preserve">│  │  │  ←  August 2026   │  │  │  Email: _______________ │   │</w:t>
            </w:r>
          </w:p>
          <w:p>
            <w:pPr>
              <w:spacing w:after="0" w:line="240"/>
            </w:pPr>
            <w:r>
              <w:rPr>
                <w:rFonts w:ascii="Courier New" w:eastAsia="Courier New"/>
                <w:color w:val="1A2330"/>
                <w:sz w:val="16"/>
                <w:szCs w:val="16"/>
              </w:rPr>
              <w:t xml:space="preserve">│  │  │  S  M  T  W  T  F │  │  │  Phone: _______________ │   │</w:t>
            </w:r>
          </w:p>
          <w:p>
            <w:pPr>
              <w:spacing w:after="0" w:line="240"/>
            </w:pPr>
            <w:r>
              <w:rPr>
                <w:rFonts w:ascii="Courier New" w:eastAsia="Courier New"/>
                <w:color w:val="1A2330"/>
                <w:sz w:val="16"/>
                <w:szCs w:val="16"/>
              </w:rPr>
              <w:t xml:space="preserve">│  │  │  S  1  2  3  4  5  │  │  │  Company: ____________ │   │</w:t>
            </w:r>
          </w:p>
          <w:p>
            <w:pPr>
              <w:spacing w:after="0" w:line="240"/>
            </w:pPr>
            <w:r>
              <w:rPr>
                <w:rFonts w:ascii="Courier New" w:eastAsia="Courier New"/>
                <w:color w:val="1A2330"/>
                <w:sz w:val="16"/>
                <w:szCs w:val="16"/>
              </w:rPr>
              <w:t xml:space="preserve">│  │  │  6  7  8  9 10 11  │  │  │  Industry: [dropdown] │   │</w:t>
            </w:r>
          </w:p>
          <w:p>
            <w:pPr>
              <w:spacing w:after="0" w:line="240"/>
            </w:pPr>
            <w:r>
              <w:rPr>
                <w:rFonts w:ascii="Courier New" w:eastAsia="Courier New"/>
                <w:color w:val="1A2330"/>
                <w:sz w:val="16"/>
                <w:szCs w:val="16"/>
              </w:rPr>
              <w:t xml:space="preserve">│  │  │ 12 13 14 15 16 17  │  │  │  Notes:  ____________ │   │</w:t>
            </w:r>
          </w:p>
          <w:p>
            <w:pPr>
              <w:spacing w:after="0" w:line="240"/>
            </w:pPr>
            <w:r>
              <w:rPr>
                <w:rFonts w:ascii="Courier New" w:eastAsia="Courier New"/>
                <w:color w:val="1A2330"/>
                <w:sz w:val="16"/>
                <w:szCs w:val="16"/>
              </w:rPr>
              <w:t xml:space="preserve">│  │  │ 18 19 20 21 22 23  │  │  └─────────────────────────┘   │</w:t>
            </w:r>
          </w:p>
          <w:p>
            <w:pPr>
              <w:spacing w:after="0" w:line="240"/>
            </w:pPr>
            <w:r>
              <w:rPr>
                <w:rFonts w:ascii="Courier New" w:eastAsia="Courier New"/>
                <w:color w:val="1A2330"/>
                <w:sz w:val="16"/>
                <w:szCs w:val="16"/>
              </w:rPr>
              <w:t xml:space="preserve">│  │  │ 24 25 26 27 28 29  │  │                              │</w:t>
            </w:r>
          </w:p>
          <w:p>
            <w:pPr>
              <w:spacing w:after="0" w:line="240"/>
            </w:pPr>
            <w:r>
              <w:rPr>
                <w:rFonts w:ascii="Courier New" w:eastAsia="Courier New"/>
                <w:color w:val="1A2330"/>
                <w:sz w:val="16"/>
                <w:szCs w:val="16"/>
              </w:rPr>
              <w:t xml:space="preserve">│  │  │ 30 31              │  │  Step 4 · Confirm           │</w:t>
            </w:r>
          </w:p>
          <w:p>
            <w:pPr>
              <w:spacing w:after="0" w:line="240"/>
            </w:pPr>
            <w:r>
              <w:rPr>
                <w:rFonts w:ascii="Courier New" w:eastAsia="Courier New"/>
                <w:color w:val="1A2330"/>
                <w:sz w:val="16"/>
                <w:szCs w:val="16"/>
              </w:rPr>
              <w:t xml:space="preserve">│  │  └──────────────────┘  │  │  [ Confirm Meeting ]       │</w:t>
            </w:r>
          </w:p>
          <w:p>
            <w:pPr>
              <w:spacing w:after="0" w:line="240"/>
            </w:pPr>
            <w:r>
              <w:rPr>
                <w:rFonts w:ascii="Courier New" w:eastAsia="Courier New"/>
                <w:color w:val="1A2330"/>
                <w:sz w:val="16"/>
                <w:szCs w:val="16"/>
              </w:rPr>
              <w:t xml:space="preserve">│  └────────────────────────┘  └─────────────────────────┘   │</w:t>
            </w:r>
          </w:p>
          <w:p>
            <w:pPr>
              <w:spacing w:after="0" w:line="240"/>
            </w:pPr>
            <w:r>
              <w:rPr>
                <w:rFonts w:ascii="Courier New" w:eastAsia="Courier New"/>
                <w:color w:val="1A2330"/>
                <w:sz w:val="16"/>
                <w:szCs w:val="16"/>
              </w:rPr>
              <w:t xml:space="preserve">│  ┌────────────────────────┐                                │</w:t>
            </w:r>
          </w:p>
          <w:p>
            <w:pPr>
              <w:spacing w:after="0" w:line="240"/>
            </w:pPr>
            <w:r>
              <w:rPr>
                <w:rFonts w:ascii="Courier New" w:eastAsia="Courier New"/>
                <w:color w:val="1A2330"/>
                <w:sz w:val="16"/>
                <w:szCs w:val="16"/>
              </w:rPr>
              <w:t xml:space="preserve">│  │ Step 2 · Select Time   │                                │</w:t>
            </w:r>
          </w:p>
          <w:p>
            <w:pPr>
              <w:spacing w:after="0" w:line="240"/>
            </w:pPr>
            <w:r>
              <w:rPr>
                <w:rFonts w:ascii="Courier New" w:eastAsia="Courier New"/>
                <w:color w:val="1A2330"/>
                <w:sz w:val="16"/>
                <w:szCs w:val="16"/>
              </w:rPr>
              <w:t xml:space="preserve">│  │  ◯ 09:00  ◯ 10:00      │                                │</w:t>
            </w:r>
          </w:p>
          <w:p>
            <w:pPr>
              <w:spacing w:after="0" w:line="240"/>
            </w:pPr>
            <w:r>
              <w:rPr>
                <w:rFonts w:ascii="Courier New" w:eastAsia="Courier New"/>
                <w:color w:val="1A2330"/>
                <w:sz w:val="16"/>
                <w:szCs w:val="16"/>
              </w:rPr>
              <w:t xml:space="preserve">│  │  ◯ 11:00  ◯ 12:00      │                                │</w:t>
            </w:r>
          </w:p>
          <w:p>
            <w:pPr>
              <w:spacing w:after="0" w:line="240"/>
            </w:pPr>
            <w:r>
              <w:rPr>
                <w:rFonts w:ascii="Courier New" w:eastAsia="Courier New"/>
                <w:color w:val="1A2330"/>
                <w:sz w:val="16"/>
                <w:szCs w:val="16"/>
              </w:rPr>
              <w:t xml:space="preserve">│  │  ◯ 14:00  ◯ 15:00      │                                │</w:t>
            </w:r>
          </w:p>
          <w:p>
            <w:pPr>
              <w:spacing w:after="0" w:line="240"/>
            </w:pPr>
            <w:r>
              <w:rPr>
                <w:rFonts w:ascii="Courier New" w:eastAsia="Courier New"/>
                <w:color w:val="1A2330"/>
                <w:sz w:val="16"/>
                <w:szCs w:val="16"/>
              </w:rPr>
              <w:t xml:space="preserve">│  │  ◯ 16:00  ◯ 17:00      │                                │</w:t>
            </w:r>
          </w:p>
          <w:p>
            <w:pPr>
              <w:spacing w:after="0" w:line="240"/>
            </w:pPr>
            <w:r>
              <w:rPr>
                <w:rFonts w:ascii="Courier New" w:eastAsia="Courier New"/>
                <w:color w:val="1A2330"/>
                <w:sz w:val="16"/>
                <w:szCs w:val="16"/>
              </w:rPr>
              <w:t xml:space="preserve">│  └────────────────────────┘                                │</w:t>
            </w:r>
          </w:p>
          <w:p>
            <w:pPr>
              <w:spacing w:after="0" w:line="240"/>
            </w:pPr>
            <w:r>
              <w:rPr>
                <w:rFonts w:ascii="Courier New" w:eastAsia="Courier New"/>
                <w:color w:val="1A2330"/>
                <w:sz w:val="16"/>
                <w:szCs w:val="16"/>
              </w:rPr>
              <w:t xml:space="preserve">└────────────────────────────────────────────────────────────┘</w:t>
            </w:r>
          </w:p>
        </w:tc>
      </w:tr>
    </w:tbl>
    <w:p>
      <w:pPr>
        <w:pStyle w:val="Heading3"/>
        <w:spacing w:after="100" w:before="220" w:line="312"/>
      </w:pPr>
      <w:bookmarkStart w:id="100054" w:name="_Toc100054"/>
      <w:r>
        <w:rPr>
          <w:rFonts w:ascii="Calibri" w:eastAsia="SimHei"/>
          <w:b/>
          <w:bCs/>
          <w:color w:val="0B1220"/>
          <w:sz w:val="24"/>
          <w:szCs w:val="24"/>
        </w:rPr>
        <w:t xml:space="preserve">Booking Flow</w:t>
      </w:r>
      <w:bookmarkEnd w:id="100054"/>
    </w:p>
    <w:p>
      <w:pPr>
        <w:spacing w:after="100" w:line="312"/>
        <w:ind w:firstLine="0"/>
        <w:jc w:val="both"/>
      </w:pPr>
      <w:r>
        <w:rPr>
          <w:rFonts w:ascii="Calibri" w:eastAsia="Microsoft YaHei"/>
          <w:color w:val="1A2330"/>
          <w:sz w:val="22"/>
          <w:szCs w:val="22"/>
        </w:rPr>
        <w:t xml:space="preserve">The booking flow is a 4-step process. Each step must be completed before the next becomes enabled; the visitor can move backward to edit previous steps without losing data. The final Confirm step creates a meeting record in the CRM and sends a calendar invitation to the visitor's email.</w:t>
      </w:r>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gridCol w:w="100"/>
      </w:tblGrid>
      <w:tr>
        <w:trPr>
          <w:cantSplit/>
          <w:tblHeader/>
        </w:trPr>
        <w:tc>
          <w:tcPr>
            <w:tcW w:type="pct" w:w="22%"/>
            <w:shd w:fill="D4875A" w:val="clear"/>
            <w:tcMar>
              <w:top w:type="dxa" w:w="80"/>
              <w:left w:type="dxa" w:w="120"/>
              <w:bottom w:type="dxa" w:w="80"/>
              <w:right w:type="dxa" w:w="120"/>
            </w:tcMar>
          </w:tcPr>
          <w:p>
            <w:pPr>
              <w:jc w:val="left"/>
            </w:pPr>
            <w:r>
              <w:rPr>
                <w:rFonts w:ascii="Calibri" w:eastAsia="SimHei"/>
                <w:b/>
                <w:bCs/>
                <w:color w:val="FFFFFF"/>
                <w:sz w:val="20"/>
                <w:szCs w:val="20"/>
              </w:rPr>
              <w:t xml:space="preserve">Step</w:t>
            </w:r>
          </w:p>
        </w:tc>
        <w:tc>
          <w:tcPr>
            <w:tcW w:type="pct" w:w="38%"/>
            <w:shd w:fill="D4875A" w:val="clear"/>
            <w:tcMar>
              <w:top w:type="dxa" w:w="80"/>
              <w:left w:type="dxa" w:w="120"/>
              <w:bottom w:type="dxa" w:w="80"/>
              <w:right w:type="dxa" w:w="120"/>
            </w:tcMar>
          </w:tcPr>
          <w:p>
            <w:pPr>
              <w:jc w:val="left"/>
            </w:pPr>
            <w:r>
              <w:rPr>
                <w:rFonts w:ascii="Calibri" w:eastAsia="SimHei"/>
                <w:b/>
                <w:bCs/>
                <w:color w:val="FFFFFF"/>
                <w:sz w:val="20"/>
                <w:szCs w:val="20"/>
              </w:rPr>
              <w:t xml:space="preserve">Action</w:t>
            </w:r>
          </w:p>
        </w:tc>
        <w:tc>
          <w:tcPr>
            <w:tcW w:type="pct" w:w="40%"/>
            <w:shd w:fill="D4875A" w:val="clear"/>
            <w:tcMar>
              <w:top w:type="dxa" w:w="80"/>
              <w:left w:type="dxa" w:w="120"/>
              <w:bottom w:type="dxa" w:w="80"/>
              <w:right w:type="dxa" w:w="120"/>
            </w:tcMar>
          </w:tcPr>
          <w:p>
            <w:pPr>
              <w:jc w:val="left"/>
            </w:pPr>
            <w:r>
              <w:rPr>
                <w:rFonts w:ascii="Calibri" w:eastAsia="SimHei"/>
                <w:b/>
                <w:bCs/>
                <w:color w:val="FFFFFF"/>
                <w:sz w:val="20"/>
                <w:szCs w:val="20"/>
              </w:rPr>
              <w:t xml:space="preserve">Validation</w:t>
            </w:r>
          </w:p>
        </w:tc>
      </w:tr>
      <w:tr>
        <w:trPr>
          <w:cantSplit/>
        </w:trPr>
        <w:tc>
          <w:tcPr>
            <w:tcW w:type="pct" w:w="22%"/>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1. Select Date</w:t>
            </w:r>
          </w:p>
        </w:tc>
        <w:tc>
          <w:tcPr>
            <w:tcW w:type="pct" w:w="38%"/>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Pick a date from the calendar widget.</w:t>
            </w:r>
          </w:p>
        </w:tc>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Date must be a business day, not in the past, within the next 30 days.</w:t>
            </w:r>
          </w:p>
        </w:tc>
      </w:tr>
      <w:tr>
        <w:trPr>
          <w:cantSplit/>
        </w:trPr>
        <w:tc>
          <w:tcPr>
            <w:tcW w:type="pct" w:w="22%"/>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2. Select Time</w:t>
            </w:r>
          </w:p>
        </w:tc>
        <w:tc>
          <w:tcPr>
            <w:tcW w:type="pct" w:w="38%"/>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Pick an available time slot.</w:t>
            </w:r>
          </w:p>
        </w:tc>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Slots shown are those not already booked; slots disappear in real time when taken.</w:t>
            </w:r>
          </w:p>
        </w:tc>
      </w:tr>
      <w:tr>
        <w:trPr>
          <w:cantSplit/>
        </w:trPr>
        <w:tc>
          <w:tcPr>
            <w:tcW w:type="pct" w:w="22%"/>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3. Enter Details</w:t>
            </w:r>
          </w:p>
        </w:tc>
        <w:tc>
          <w:tcPr>
            <w:tcW w:type="pct" w:w="38%"/>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Provide name, email, phone, company, industry, optional notes.</w:t>
            </w:r>
          </w:p>
        </w:tc>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All fields except Notes are required; email and phone validated.</w:t>
            </w:r>
          </w:p>
        </w:tc>
      </w:tr>
      <w:tr>
        <w:trPr>
          <w:cantSplit/>
        </w:trPr>
        <w:tc>
          <w:tcPr>
            <w:tcW w:type="pct" w:w="22%"/>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4. Confirm Meeting</w:t>
            </w:r>
          </w:p>
        </w:tc>
        <w:tc>
          <w:tcPr>
            <w:tcW w:type="pct" w:w="38%"/>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Review summary and confirm.</w:t>
            </w:r>
          </w:p>
        </w:tc>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On confirm, send calendar invite email and write to CRM with status SCHEDULED.</w:t>
            </w:r>
          </w:p>
        </w:tc>
      </w:tr>
    </w:tbl>
    <w:p>
      <w:pPr>
        <w:pStyle w:val="Heading3"/>
        <w:spacing w:after="100" w:before="220" w:line="312"/>
      </w:pPr>
      <w:bookmarkStart w:id="100055" w:name="_Toc100055"/>
      <w:r>
        <w:rPr>
          <w:rFonts w:ascii="Calibri" w:eastAsia="SimHei"/>
          <w:b/>
          <w:bCs/>
          <w:color w:val="0B1220"/>
          <w:sz w:val="24"/>
          <w:szCs w:val="24"/>
        </w:rPr>
        <w:t xml:space="preserve">Acceptance Criteria</w:t>
      </w:r>
      <w:bookmarkEnd w:id="100055"/>
    </w:p>
    <w:p>
      <w:pPr>
        <w:pStyle w:val="ListParagraph"/>
        <w:numPr>
          <w:ilvl w:val="0"/>
          <w:numId w:val="1"/>
        </w:numPr>
        <w:spacing w:after="60" w:line="312"/>
      </w:pPr>
      <w:r>
        <w:rPr>
          <w:rFonts w:ascii="Calibri" w:eastAsia="Microsoft YaHei"/>
          <w:color w:val="1A2330"/>
          <w:sz w:val="22"/>
          <w:szCs w:val="22"/>
        </w:rPr>
        <w:t xml:space="preserve">Calendar widget reflects available slots from the internal calendar (Chapter 6) in real time.</w:t>
      </w:r>
    </w:p>
    <w:p>
      <w:pPr>
        <w:pStyle w:val="ListParagraph"/>
        <w:numPr>
          <w:ilvl w:val="0"/>
          <w:numId w:val="1"/>
        </w:numPr>
        <w:spacing w:after="60" w:line="312"/>
      </w:pPr>
      <w:r>
        <w:rPr>
          <w:rFonts w:ascii="Calibri" w:eastAsia="Microsoft YaHei"/>
          <w:color w:val="1A2330"/>
          <w:sz w:val="22"/>
          <w:szCs w:val="22"/>
        </w:rPr>
        <w:t xml:space="preserve">Double-booking is impossible — a slot becomes unavailable the moment it is held (60-second hold during step 3).</w:t>
      </w:r>
    </w:p>
    <w:p>
      <w:pPr>
        <w:pStyle w:val="ListParagraph"/>
        <w:numPr>
          <w:ilvl w:val="0"/>
          <w:numId w:val="1"/>
        </w:numPr>
        <w:spacing w:after="60" w:line="312"/>
      </w:pPr>
      <w:r>
        <w:rPr>
          <w:rFonts w:ascii="Calibri" w:eastAsia="Microsoft YaHei"/>
          <w:color w:val="1A2330"/>
          <w:sz w:val="22"/>
          <w:szCs w:val="22"/>
        </w:rPr>
        <w:t xml:space="preserve">Confirmation email sent within 60 seconds of booking; calendar invite (.ics) attached.</w:t>
      </w:r>
    </w:p>
    <w:p>
      <w:pPr>
        <w:pStyle w:val="ListParagraph"/>
        <w:numPr>
          <w:ilvl w:val="0"/>
          <w:numId w:val="1"/>
        </w:numPr>
        <w:spacing w:after="60" w:line="312"/>
      </w:pPr>
      <w:r>
        <w:rPr>
          <w:rFonts w:ascii="Calibri" w:eastAsia="Microsoft YaHei"/>
          <w:color w:val="1A2330"/>
          <w:sz w:val="22"/>
          <w:szCs w:val="22"/>
        </w:rPr>
        <w:t xml:space="preserve">CRM lead record created or updated with meeting_status=SCHEDULED and meeting_time.</w:t>
      </w:r>
    </w:p>
    <w:p>
      <w:pPr>
        <w:pStyle w:val="Heading2"/>
        <w:spacing w:after="120" w:before="280" w:line="312"/>
      </w:pPr>
      <w:bookmarkStart w:id="100056" w:name="_Toc100056"/>
      <w:r>
        <w:rPr>
          <w:rFonts w:ascii="Calibri" w:eastAsia="SimHei"/>
          <w:b/>
          <w:bCs/>
          <w:color w:val="0B1220"/>
          <w:sz w:val="28"/>
          <w:szCs w:val="28"/>
        </w:rPr>
        <w:t xml:space="preserve">3.8 Section 08 — Lead Qualification Form</w:t>
      </w:r>
      <w:bookmarkEnd w:id="100056"/>
    </w:p>
    <w:p>
      <w:pPr>
        <w:pStyle w:val="Heading3"/>
        <w:spacing w:after="100" w:before="220" w:line="312"/>
      </w:pPr>
      <w:bookmarkStart w:id="100057" w:name="_Toc100057"/>
      <w:r>
        <w:rPr>
          <w:rFonts w:ascii="Calibri" w:eastAsia="SimHei"/>
          <w:b/>
          <w:bCs/>
          <w:color w:val="0B1220"/>
          <w:sz w:val="24"/>
          <w:szCs w:val="24"/>
        </w:rPr>
        <w:t xml:space="preserve">Purpose</w:t>
      </w:r>
      <w:bookmarkEnd w:id="100057"/>
    </w:p>
    <w:p>
      <w:pPr>
        <w:spacing w:after="100" w:line="312"/>
        <w:ind w:firstLine="0"/>
        <w:jc w:val="both"/>
      </w:pPr>
      <w:r>
        <w:rPr>
          <w:rFonts w:ascii="Calibri" w:eastAsia="Microsoft YaHei"/>
          <w:color w:val="1A2330"/>
          <w:sz w:val="22"/>
          <w:szCs w:val="22"/>
        </w:rPr>
        <w:t xml:space="preserve">Capture detailed lead information for prospects who do not book a meeting or request an audit but want to be contacted. This form is the fallback lead path; its data feeds directly into the CRM and triggers the sales follow-up workflow. Field structure mirrors the master IDEX Event Plan §15.</w:t>
      </w:r>
    </w:p>
    <w:p>
      <w:pPr>
        <w:pStyle w:val="Heading3"/>
        <w:spacing w:after="100" w:before="220" w:line="312"/>
      </w:pPr>
      <w:bookmarkStart w:id="100058" w:name="_Toc100058"/>
      <w:r>
        <w:rPr>
          <w:rFonts w:ascii="Calibri" w:eastAsia="SimHei"/>
          <w:b/>
          <w:bCs/>
          <w:color w:val="0B1220"/>
          <w:sz w:val="24"/>
          <w:szCs w:val="24"/>
        </w:rPr>
        <w:t xml:space="preserve">Wireframe</w:t>
      </w:r>
      <w:bookmarkEnd w:id="100058"/>
    </w:p>
    <w:tbl>
      <w:tblPr>
        <w:tblW w:type="pct" w:w="100%"/>
        <w:tblBorders>
          <w:top w:val="single" w:color="D4875A" w:sz="2"/>
          <w:left w:val="none"/>
          <w:bottom w:val="single" w:color="D4875A" w:sz="2"/>
          <w:right w:val="none"/>
          <w:insideH w:val="single" w:color="DDD0C8" w:sz="1"/>
          <w:insideV w:val="none"/>
        </w:tblBorders>
        <w:tblLayout w:type="fixed"/>
      </w:tblPr>
      <w:tblGrid>
        <w:gridCol w:w="100"/>
      </w:tblGrid>
      <w:tr>
        <w:trPr>
          <w:cantSplit/>
          <w:tblHeader/>
        </w:trPr>
        <w:tc>
          <w:tcPr>
            <w:tcW w:type="pct" w:w="100%"/>
            <w:shd w:fill="D4875A" w:val="clear"/>
            <w:tcMar>
              <w:top w:type="dxa" w:w="60"/>
              <w:left w:type="dxa" w:w="120"/>
              <w:bottom w:type="dxa" w:w="60"/>
              <w:right w:type="dxa" w:w="120"/>
            </w:tcMar>
          </w:tcPr>
          <w:p>
            <w:r>
              <w:rPr>
                <w:rFonts w:ascii="Calibri" w:eastAsia="SimHei"/>
                <w:b/>
                <w:bCs/>
                <w:color w:val="FFFFFF"/>
                <w:sz w:val="18"/>
                <w:szCs w:val="18"/>
              </w:rPr>
              <w:t xml:space="preserve">Figure 9 — Lead Qualification Form Wireframe</w:t>
            </w:r>
          </w:p>
        </w:tc>
      </w:tr>
      <w:tr>
        <w:trPr>
          <w:cantSplit/>
        </w:trPr>
        <w:tc>
          <w:tcPr>
            <w:tcW w:type="pct" w:w="100%"/>
            <w:shd w:fill="FBFBFB" w:val="clear"/>
            <w:tcMar>
              <w:top w:type="dxa" w:w="100"/>
              <w:left w:type="dxa" w:w="140"/>
              <w:bottom w:type="dxa" w:w="100"/>
              <w:right w:type="dxa" w:w="140"/>
            </w:tcMar>
          </w:tcPr>
          <w:p>
            <w:pPr>
              <w:spacing w:after="0" w:line="240"/>
            </w:pPr>
            <w:r>
              <w:rPr>
                <w:rFonts w:ascii="Courier New" w:eastAsia="Courier New"/>
                <w:color w:val="1A2330"/>
                <w:sz w:val="16"/>
                <w:szCs w:val="16"/>
              </w:rPr>
              <w:t xml:space="preserve">┌────────────────────────────────────────────────────────────┐</w:t>
            </w:r>
          </w:p>
          <w:p>
            <w:pPr>
              <w:spacing w:after="0" w:line="240"/>
            </w:pPr>
            <w:r>
              <w:rPr>
                <w:rFonts w:ascii="Courier New" w:eastAsia="Courier New"/>
                <w:color w:val="1A2330"/>
                <w:sz w:val="16"/>
                <w:szCs w:val="16"/>
              </w:rPr>
              <w:t xml:space="preserve">│  H2:  Let's Talk — Tell Us About Your Project             │</w:t>
            </w:r>
          </w:p>
          <w:p>
            <w:pPr>
              <w:spacing w:after="0" w:line="240"/>
            </w:pPr>
            <w:r>
              <w:rPr>
                <w:rFonts w:ascii="Courier New" w:eastAsia="Courier New"/>
                <w:color w:val="1A2330"/>
                <w:sz w:val="16"/>
                <w:szCs w:val="16"/>
              </w:rPr>
              <w:t xml:space="preserve">│  sub: We'll respond within one business day.              │</w:t>
            </w:r>
          </w:p>
          <w:p>
            <w:pPr>
              <w:spacing w:after="0" w:line="240"/>
            </w:pPr>
            <w:r>
              <w:rPr>
                <w:rFonts w:ascii="Courier New" w:eastAsia="Courier New"/>
                <w:color w:val="1A2330"/>
                <w:sz w:val="16"/>
                <w:szCs w:val="16"/>
              </w:rPr>
              <w:t xml:space="preserve">│                                                            │</w:t>
            </w:r>
          </w:p>
          <w:p>
            <w:pPr>
              <w:spacing w:after="0" w:line="240"/>
            </w:pPr>
            <w:r>
              <w:rPr>
                <w:rFonts w:ascii="Courier New" w:eastAsia="Courier New"/>
                <w:color w:val="1A2330"/>
                <w:sz w:val="16"/>
                <w:szCs w:val="16"/>
              </w:rPr>
              <w:t xml:space="preserve">│  ┌─── Personal Information ───────────────────────────────┐ │</w:t>
            </w:r>
          </w:p>
          <w:p>
            <w:pPr>
              <w:spacing w:after="0" w:line="240"/>
            </w:pPr>
            <w:r>
              <w:rPr>
                <w:rFonts w:ascii="Courier New" w:eastAsia="Courier New"/>
                <w:color w:val="1A2330"/>
                <w:sz w:val="16"/>
                <w:szCs w:val="16"/>
              </w:rPr>
              <w:t xml:space="preserve">│  │  Name        ______________   Position  ___________   │ │</w:t>
            </w:r>
          </w:p>
          <w:p>
            <w:pPr>
              <w:spacing w:after="0" w:line="240"/>
            </w:pPr>
            <w:r>
              <w:rPr>
                <w:rFonts w:ascii="Courier New" w:eastAsia="Courier New"/>
                <w:color w:val="1A2330"/>
                <w:sz w:val="16"/>
                <w:szCs w:val="16"/>
              </w:rPr>
              <w:t xml:space="preserve">│  │  Email       ______________   Phone     ___________   │ │</w:t>
            </w:r>
          </w:p>
          <w:p>
            <w:pPr>
              <w:spacing w:after="0" w:line="240"/>
            </w:pPr>
            <w:r>
              <w:rPr>
                <w:rFonts w:ascii="Courier New" w:eastAsia="Courier New"/>
                <w:color w:val="1A2330"/>
                <w:sz w:val="16"/>
                <w:szCs w:val="16"/>
              </w:rPr>
              <w:t xml:space="preserve">│  └──────────────────────────────────────────────────────┘ │</w:t>
            </w:r>
          </w:p>
          <w:p>
            <w:pPr>
              <w:spacing w:after="0" w:line="240"/>
            </w:pPr>
            <w:r>
              <w:rPr>
                <w:rFonts w:ascii="Courier New" w:eastAsia="Courier New"/>
                <w:color w:val="1A2330"/>
                <w:sz w:val="16"/>
                <w:szCs w:val="16"/>
              </w:rPr>
              <w:t xml:space="preserve">│  ┌─── Company Information ───────────────────────────────┐ │</w:t>
            </w:r>
          </w:p>
          <w:p>
            <w:pPr>
              <w:spacing w:after="0" w:line="240"/>
            </w:pPr>
            <w:r>
              <w:rPr>
                <w:rFonts w:ascii="Courier New" w:eastAsia="Courier New"/>
                <w:color w:val="1A2330"/>
                <w:sz w:val="16"/>
                <w:szCs w:val="16"/>
              </w:rPr>
              <w:t xml:space="preserve">│  │  Company     ______________   Country  _____________   │ │</w:t>
            </w:r>
          </w:p>
          <w:p>
            <w:pPr>
              <w:spacing w:after="0" w:line="240"/>
            </w:pPr>
            <w:r>
              <w:rPr>
                <w:rFonts w:ascii="Courier New" w:eastAsia="Courier New"/>
                <w:color w:val="1A2330"/>
                <w:sz w:val="16"/>
                <w:szCs w:val="16"/>
              </w:rPr>
              <w:t xml:space="preserve">│  │  Website     ______________   Industry [dropdown  ▼]  │ │</w:t>
            </w:r>
          </w:p>
          <w:p>
            <w:pPr>
              <w:spacing w:after="0" w:line="240"/>
            </w:pPr>
            <w:r>
              <w:rPr>
                <w:rFonts w:ascii="Courier New" w:eastAsia="Courier New"/>
                <w:color w:val="1A2330"/>
                <w:sz w:val="16"/>
                <w:szCs w:val="16"/>
              </w:rPr>
              <w:t xml:space="preserve">│  └──────────────────────────────────────────────────────┘ │</w:t>
            </w:r>
          </w:p>
          <w:p>
            <w:pPr>
              <w:spacing w:after="0" w:line="240"/>
            </w:pPr>
            <w:r>
              <w:rPr>
                <w:rFonts w:ascii="Courier New" w:eastAsia="Courier New"/>
                <w:color w:val="1A2330"/>
                <w:sz w:val="16"/>
                <w:szCs w:val="16"/>
              </w:rPr>
              <w:t xml:space="preserve">│  ┌─── Requirements ─────────────────────────────────────┐ │</w:t>
            </w:r>
          </w:p>
          <w:p>
            <w:pPr>
              <w:spacing w:after="0" w:line="240"/>
            </w:pPr>
            <w:r>
              <w:rPr>
                <w:rFonts w:ascii="Courier New" w:eastAsia="Courier New"/>
                <w:color w:val="1A2330"/>
                <w:sz w:val="16"/>
                <w:szCs w:val="16"/>
              </w:rPr>
              <w:t xml:space="preserve">│  │  What are you looking for? (select all that apply)   │ │</w:t>
            </w:r>
          </w:p>
          <w:p>
            <w:pPr>
              <w:spacing w:after="0" w:line="240"/>
            </w:pPr>
            <w:r>
              <w:rPr>
                <w:rFonts w:ascii="Courier New" w:eastAsia="Courier New"/>
                <w:color w:val="1A2330"/>
                <w:sz w:val="16"/>
                <w:szCs w:val="16"/>
              </w:rPr>
              <w:t xml:space="preserve">│  │  ☐ Rebranding        ☐ Printing      ☐ Media Buying   │ │</w:t>
            </w:r>
          </w:p>
          <w:p>
            <w:pPr>
              <w:spacing w:after="0" w:line="240"/>
            </w:pPr>
            <w:r>
              <w:rPr>
                <w:rFonts w:ascii="Courier New" w:eastAsia="Courier New"/>
                <w:color w:val="1A2330"/>
                <w:sz w:val="16"/>
                <w:szCs w:val="16"/>
              </w:rPr>
              <w:t xml:space="preserve">│  │  ☐ Website           ☐ Business Dev  ☐ Consulting     │ │</w:t>
            </w:r>
          </w:p>
          <w:p>
            <w:pPr>
              <w:spacing w:after="0" w:line="240"/>
            </w:pPr>
            <w:r>
              <w:rPr>
                <w:rFonts w:ascii="Courier New" w:eastAsia="Courier New"/>
                <w:color w:val="1A2330"/>
                <w:sz w:val="16"/>
                <w:szCs w:val="16"/>
              </w:rPr>
              <w:t xml:space="preserve">│  │  ☐ Multiple Services                                 │ │</w:t>
            </w:r>
          </w:p>
          <w:p>
            <w:pPr>
              <w:spacing w:after="0" w:line="240"/>
            </w:pPr>
            <w:r>
              <w:rPr>
                <w:rFonts w:ascii="Courier New" w:eastAsia="Courier New"/>
                <w:color w:val="1A2330"/>
                <w:sz w:val="16"/>
                <w:szCs w:val="16"/>
              </w:rPr>
              <w:t xml:space="preserve">│  │  ☐ IDEX Growth Package                               │ │</w:t>
            </w:r>
          </w:p>
          <w:p>
            <w:pPr>
              <w:spacing w:after="0" w:line="240"/>
            </w:pPr>
            <w:r>
              <w:rPr>
                <w:rFonts w:ascii="Courier New" w:eastAsia="Courier New"/>
                <w:color w:val="1A2330"/>
                <w:sz w:val="16"/>
                <w:szCs w:val="16"/>
              </w:rPr>
              <w:t xml:space="preserve">│  │  ☐ Other:  ___________________________                │ │</w:t>
            </w:r>
          </w:p>
          <w:p>
            <w:pPr>
              <w:spacing w:after="0" w:line="240"/>
            </w:pPr>
            <w:r>
              <w:rPr>
                <w:rFonts w:ascii="Courier New" w:eastAsia="Courier New"/>
                <w:color w:val="1A2330"/>
                <w:sz w:val="16"/>
                <w:szCs w:val="16"/>
              </w:rPr>
              <w:t xml:space="preserve">│  │                                                       │ │</w:t>
            </w:r>
          </w:p>
          <w:p>
            <w:pPr>
              <w:spacing w:after="0" w:line="240"/>
            </w:pPr>
            <w:r>
              <w:rPr>
                <w:rFonts w:ascii="Courier New" w:eastAsia="Courier New"/>
                <w:color w:val="1A2330"/>
                <w:sz w:val="16"/>
                <w:szCs w:val="16"/>
              </w:rPr>
              <w:t xml:space="preserve">│  │  [ Submit Lead ]                                      │ │</w:t>
            </w:r>
          </w:p>
          <w:p>
            <w:pPr>
              <w:spacing w:after="0" w:line="240"/>
            </w:pPr>
            <w:r>
              <w:rPr>
                <w:rFonts w:ascii="Courier New" w:eastAsia="Courier New"/>
                <w:color w:val="1A2330"/>
                <w:sz w:val="16"/>
                <w:szCs w:val="16"/>
              </w:rPr>
              <w:t xml:space="preserve">│  └──────────────────────────────────────────────────────┘ │</w:t>
            </w:r>
          </w:p>
          <w:p>
            <w:pPr>
              <w:spacing w:after="0" w:line="240"/>
            </w:pPr>
            <w:r>
              <w:rPr>
                <w:rFonts w:ascii="Courier New" w:eastAsia="Courier New"/>
                <w:color w:val="1A2330"/>
                <w:sz w:val="16"/>
                <w:szCs w:val="16"/>
              </w:rPr>
              <w:t xml:space="preserve">└────────────────────────────────────────────────────────────┘</w:t>
            </w:r>
          </w:p>
        </w:tc>
      </w:tr>
    </w:tbl>
    <w:p>
      <w:pPr>
        <w:pStyle w:val="Heading3"/>
        <w:spacing w:after="100" w:before="220" w:line="312"/>
      </w:pPr>
      <w:bookmarkStart w:id="100059" w:name="_Toc100059"/>
      <w:r>
        <w:rPr>
          <w:rFonts w:ascii="Calibri" w:eastAsia="SimHei"/>
          <w:b/>
          <w:bCs/>
          <w:color w:val="0B1220"/>
          <w:sz w:val="24"/>
          <w:szCs w:val="24"/>
        </w:rPr>
        <w:t xml:space="preserve">Form Fields</w:t>
      </w:r>
      <w:bookmarkEnd w:id="100059"/>
    </w:p>
    <w:p>
      <w:pPr>
        <w:pStyle w:val="Heading3"/>
        <w:spacing w:after="100" w:before="220" w:line="312"/>
      </w:pPr>
      <w:bookmarkStart w:id="100060" w:name="_Toc100060"/>
      <w:r>
        <w:rPr>
          <w:rFonts w:ascii="Calibri" w:eastAsia="SimHei"/>
          <w:b/>
          <w:bCs/>
          <w:color w:val="0B1220"/>
          <w:sz w:val="24"/>
          <w:szCs w:val="24"/>
        </w:rPr>
        <w:t xml:space="preserve">Personal Information</w:t>
      </w:r>
      <w:bookmarkEnd w:id="100060"/>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gridCol w:w="100"/>
      </w:tblGrid>
      <w:tr>
        <w:trPr>
          <w:cantSplit/>
          <w:tblHeader/>
        </w:trPr>
        <w:tc>
          <w:tcPr>
            <w:tcW w:type="pct" w:w="40%"/>
            <w:shd w:fill="D4875A" w:val="clear"/>
            <w:tcMar>
              <w:top w:type="dxa" w:w="80"/>
              <w:left w:type="dxa" w:w="120"/>
              <w:bottom w:type="dxa" w:w="80"/>
              <w:right w:type="dxa" w:w="120"/>
            </w:tcMar>
          </w:tcPr>
          <w:p>
            <w:pPr>
              <w:jc w:val="left"/>
            </w:pPr>
            <w:r>
              <w:rPr>
                <w:rFonts w:ascii="Calibri" w:eastAsia="SimHei"/>
                <w:b/>
                <w:bCs/>
                <w:color w:val="FFFFFF"/>
                <w:sz w:val="20"/>
                <w:szCs w:val="20"/>
              </w:rPr>
              <w:t xml:space="preserve">Field</w:t>
            </w:r>
          </w:p>
        </w:tc>
        <w:tc>
          <w:tcPr>
            <w:tcW w:type="pct" w:w="40%"/>
            <w:shd w:fill="D4875A" w:val="clear"/>
            <w:tcMar>
              <w:top w:type="dxa" w:w="80"/>
              <w:left w:type="dxa" w:w="120"/>
              <w:bottom w:type="dxa" w:w="80"/>
              <w:right w:type="dxa" w:w="120"/>
            </w:tcMar>
          </w:tcPr>
          <w:p>
            <w:pPr>
              <w:jc w:val="left"/>
            </w:pPr>
            <w:r>
              <w:rPr>
                <w:rFonts w:ascii="Calibri" w:eastAsia="SimHei"/>
                <w:b/>
                <w:bCs/>
                <w:color w:val="FFFFFF"/>
                <w:sz w:val="20"/>
                <w:szCs w:val="20"/>
              </w:rPr>
              <w:t xml:space="preserve">Type</w:t>
            </w:r>
          </w:p>
        </w:tc>
        <w:tc>
          <w:tcPr>
            <w:tcW w:type="pct" w:w="20%"/>
            <w:shd w:fill="D4875A" w:val="clear"/>
            <w:tcMar>
              <w:top w:type="dxa" w:w="80"/>
              <w:left w:type="dxa" w:w="120"/>
              <w:bottom w:type="dxa" w:w="80"/>
              <w:right w:type="dxa" w:w="120"/>
            </w:tcMar>
          </w:tcPr>
          <w:p>
            <w:pPr>
              <w:jc w:val="left"/>
            </w:pPr>
            <w:r>
              <w:rPr>
                <w:rFonts w:ascii="Calibri" w:eastAsia="SimHei"/>
                <w:b/>
                <w:bCs/>
                <w:color w:val="FFFFFF"/>
                <w:sz w:val="20"/>
                <w:szCs w:val="20"/>
              </w:rPr>
              <w:t xml:space="preserve">Required</w:t>
            </w:r>
          </w:p>
        </w:tc>
      </w:tr>
      <w:tr>
        <w:trPr>
          <w:cantSplit/>
        </w:trPr>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Name</w:t>
            </w:r>
          </w:p>
        </w:tc>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text</w:t>
            </w:r>
          </w:p>
        </w:tc>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Yes</w:t>
            </w:r>
          </w:p>
        </w:tc>
      </w:tr>
      <w:tr>
        <w:trPr>
          <w:cantSplit/>
        </w:trPr>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Position</w:t>
            </w:r>
          </w:p>
        </w:tc>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text</w:t>
            </w:r>
          </w:p>
        </w:tc>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Yes</w:t>
            </w:r>
          </w:p>
        </w:tc>
      </w:tr>
      <w:tr>
        <w:trPr>
          <w:cantSplit/>
        </w:trPr>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Email</w:t>
            </w:r>
          </w:p>
        </w:tc>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email</w:t>
            </w:r>
          </w:p>
        </w:tc>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Yes</w:t>
            </w:r>
          </w:p>
        </w:tc>
      </w:tr>
      <w:tr>
        <w:trPr>
          <w:cantSplit/>
        </w:trPr>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Phone</w:t>
            </w:r>
          </w:p>
        </w:tc>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tel</w:t>
            </w:r>
          </w:p>
        </w:tc>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Yes</w:t>
            </w:r>
          </w:p>
        </w:tc>
      </w:tr>
    </w:tbl>
    <w:p>
      <w:pPr>
        <w:pStyle w:val="Heading3"/>
        <w:spacing w:after="100" w:before="220" w:line="312"/>
      </w:pPr>
      <w:bookmarkStart w:id="100061" w:name="_Toc100061"/>
      <w:r>
        <w:rPr>
          <w:rFonts w:ascii="Calibri" w:eastAsia="SimHei"/>
          <w:b/>
          <w:bCs/>
          <w:color w:val="0B1220"/>
          <w:sz w:val="24"/>
          <w:szCs w:val="24"/>
        </w:rPr>
        <w:t xml:space="preserve">Company Information</w:t>
      </w:r>
      <w:bookmarkEnd w:id="100061"/>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gridCol w:w="100"/>
      </w:tblGrid>
      <w:tr>
        <w:trPr>
          <w:cantSplit/>
          <w:tblHeader/>
        </w:trPr>
        <w:tc>
          <w:tcPr>
            <w:tcW w:type="pct" w:w="40%"/>
            <w:shd w:fill="D4875A" w:val="clear"/>
            <w:tcMar>
              <w:top w:type="dxa" w:w="80"/>
              <w:left w:type="dxa" w:w="120"/>
              <w:bottom w:type="dxa" w:w="80"/>
              <w:right w:type="dxa" w:w="120"/>
            </w:tcMar>
          </w:tcPr>
          <w:p>
            <w:pPr>
              <w:jc w:val="left"/>
            </w:pPr>
            <w:r>
              <w:rPr>
                <w:rFonts w:ascii="Calibri" w:eastAsia="SimHei"/>
                <w:b/>
                <w:bCs/>
                <w:color w:val="FFFFFF"/>
                <w:sz w:val="20"/>
                <w:szCs w:val="20"/>
              </w:rPr>
              <w:t xml:space="preserve">Field</w:t>
            </w:r>
          </w:p>
        </w:tc>
        <w:tc>
          <w:tcPr>
            <w:tcW w:type="pct" w:w="40%"/>
            <w:shd w:fill="D4875A" w:val="clear"/>
            <w:tcMar>
              <w:top w:type="dxa" w:w="80"/>
              <w:left w:type="dxa" w:w="120"/>
              <w:bottom w:type="dxa" w:w="80"/>
              <w:right w:type="dxa" w:w="120"/>
            </w:tcMar>
          </w:tcPr>
          <w:p>
            <w:pPr>
              <w:jc w:val="left"/>
            </w:pPr>
            <w:r>
              <w:rPr>
                <w:rFonts w:ascii="Calibri" w:eastAsia="SimHei"/>
                <w:b/>
                <w:bCs/>
                <w:color w:val="FFFFFF"/>
                <w:sz w:val="20"/>
                <w:szCs w:val="20"/>
              </w:rPr>
              <w:t xml:space="preserve">Type</w:t>
            </w:r>
          </w:p>
        </w:tc>
        <w:tc>
          <w:tcPr>
            <w:tcW w:type="pct" w:w="20%"/>
            <w:shd w:fill="D4875A" w:val="clear"/>
            <w:tcMar>
              <w:top w:type="dxa" w:w="80"/>
              <w:left w:type="dxa" w:w="120"/>
              <w:bottom w:type="dxa" w:w="80"/>
              <w:right w:type="dxa" w:w="120"/>
            </w:tcMar>
          </w:tcPr>
          <w:p>
            <w:pPr>
              <w:jc w:val="left"/>
            </w:pPr>
            <w:r>
              <w:rPr>
                <w:rFonts w:ascii="Calibri" w:eastAsia="SimHei"/>
                <w:b/>
                <w:bCs/>
                <w:color w:val="FFFFFF"/>
                <w:sz w:val="20"/>
                <w:szCs w:val="20"/>
              </w:rPr>
              <w:t xml:space="preserve">Required</w:t>
            </w:r>
          </w:p>
        </w:tc>
      </w:tr>
      <w:tr>
        <w:trPr>
          <w:cantSplit/>
        </w:trPr>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Company</w:t>
            </w:r>
          </w:p>
        </w:tc>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text</w:t>
            </w:r>
          </w:p>
        </w:tc>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Yes</w:t>
            </w:r>
          </w:p>
        </w:tc>
      </w:tr>
      <w:tr>
        <w:trPr>
          <w:cantSplit/>
        </w:trPr>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Country</w:t>
            </w:r>
          </w:p>
        </w:tc>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select (country list)</w:t>
            </w:r>
          </w:p>
        </w:tc>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Yes</w:t>
            </w:r>
          </w:p>
        </w:tc>
      </w:tr>
      <w:tr>
        <w:trPr>
          <w:cantSplit/>
        </w:trPr>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Website</w:t>
            </w:r>
          </w:p>
        </w:tc>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url</w:t>
            </w:r>
          </w:p>
        </w:tc>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No (recommended)</w:t>
            </w:r>
          </w:p>
        </w:tc>
      </w:tr>
      <w:tr>
        <w:trPr>
          <w:cantSplit/>
        </w:trPr>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Industry</w:t>
            </w:r>
          </w:p>
        </w:tc>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select (industry list)</w:t>
            </w:r>
          </w:p>
        </w:tc>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Yes</w:t>
            </w:r>
          </w:p>
        </w:tc>
      </w:tr>
    </w:tbl>
    <w:p>
      <w:pPr>
        <w:pStyle w:val="Heading3"/>
        <w:spacing w:after="100" w:before="220" w:line="312"/>
      </w:pPr>
      <w:bookmarkStart w:id="100062" w:name="_Toc100062"/>
      <w:r>
        <w:rPr>
          <w:rFonts w:ascii="Calibri" w:eastAsia="SimHei"/>
          <w:b/>
          <w:bCs/>
          <w:color w:val="0B1220"/>
          <w:sz w:val="24"/>
          <w:szCs w:val="24"/>
        </w:rPr>
        <w:t xml:space="preserve">Requirements</w:t>
      </w:r>
      <w:bookmarkEnd w:id="100062"/>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tblGrid>
      <w:tr>
        <w:trPr>
          <w:cantSplit/>
          <w:tblHeader/>
        </w:trPr>
        <w:tc>
          <w:tcPr>
            <w:tcW w:type="pct" w:w="70%"/>
            <w:shd w:fill="D4875A" w:val="clear"/>
            <w:tcMar>
              <w:top w:type="dxa" w:w="80"/>
              <w:left w:type="dxa" w:w="120"/>
              <w:bottom w:type="dxa" w:w="80"/>
              <w:right w:type="dxa" w:w="120"/>
            </w:tcMar>
          </w:tcPr>
          <w:p>
            <w:pPr>
              <w:jc w:val="left"/>
            </w:pPr>
            <w:r>
              <w:rPr>
                <w:rFonts w:ascii="Calibri" w:eastAsia="SimHei"/>
                <w:b/>
                <w:bCs/>
                <w:color w:val="FFFFFF"/>
                <w:sz w:val="20"/>
                <w:szCs w:val="20"/>
              </w:rPr>
              <w:t xml:space="preserve">Option</w:t>
            </w:r>
          </w:p>
        </w:tc>
        <w:tc>
          <w:tcPr>
            <w:tcW w:type="pct" w:w="30%"/>
            <w:shd w:fill="D4875A" w:val="clear"/>
            <w:tcMar>
              <w:top w:type="dxa" w:w="80"/>
              <w:left w:type="dxa" w:w="120"/>
              <w:bottom w:type="dxa" w:w="80"/>
              <w:right w:type="dxa" w:w="120"/>
            </w:tcMar>
          </w:tcPr>
          <w:p>
            <w:pPr>
              <w:jc w:val="left"/>
            </w:pPr>
            <w:r>
              <w:rPr>
                <w:rFonts w:ascii="Calibri" w:eastAsia="SimHei"/>
                <w:b/>
                <w:bCs/>
                <w:color w:val="FFFFFF"/>
                <w:sz w:val="20"/>
                <w:szCs w:val="20"/>
              </w:rPr>
              <w:t xml:space="preserve">Type</w:t>
            </w:r>
          </w:p>
        </w:tc>
      </w:tr>
      <w:tr>
        <w:trPr>
          <w:cantSplit/>
        </w:trPr>
        <w:tc>
          <w:tcPr>
            <w:tcW w:type="pct" w:w="7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Rebranding</w:t>
            </w:r>
          </w:p>
        </w:tc>
        <w:tc>
          <w:tcPr>
            <w:tcW w:type="pct" w:w="3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checkbox</w:t>
            </w:r>
          </w:p>
        </w:tc>
      </w:tr>
      <w:tr>
        <w:trPr>
          <w:cantSplit/>
        </w:trPr>
        <w:tc>
          <w:tcPr>
            <w:tcW w:type="pct" w:w="7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Printing</w:t>
            </w:r>
          </w:p>
        </w:tc>
        <w:tc>
          <w:tcPr>
            <w:tcW w:type="pct" w:w="3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checkbox</w:t>
            </w:r>
          </w:p>
        </w:tc>
      </w:tr>
      <w:tr>
        <w:trPr>
          <w:cantSplit/>
        </w:trPr>
        <w:tc>
          <w:tcPr>
            <w:tcW w:type="pct" w:w="7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Media Buying</w:t>
            </w:r>
          </w:p>
        </w:tc>
        <w:tc>
          <w:tcPr>
            <w:tcW w:type="pct" w:w="3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checkbox</w:t>
            </w:r>
          </w:p>
        </w:tc>
      </w:tr>
      <w:tr>
        <w:trPr>
          <w:cantSplit/>
        </w:trPr>
        <w:tc>
          <w:tcPr>
            <w:tcW w:type="pct" w:w="7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Website</w:t>
            </w:r>
          </w:p>
        </w:tc>
        <w:tc>
          <w:tcPr>
            <w:tcW w:type="pct" w:w="3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checkbox</w:t>
            </w:r>
          </w:p>
        </w:tc>
      </w:tr>
      <w:tr>
        <w:trPr>
          <w:cantSplit/>
        </w:trPr>
        <w:tc>
          <w:tcPr>
            <w:tcW w:type="pct" w:w="7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Business Development</w:t>
            </w:r>
          </w:p>
        </w:tc>
        <w:tc>
          <w:tcPr>
            <w:tcW w:type="pct" w:w="3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checkbox</w:t>
            </w:r>
          </w:p>
        </w:tc>
      </w:tr>
      <w:tr>
        <w:trPr>
          <w:cantSplit/>
        </w:trPr>
        <w:tc>
          <w:tcPr>
            <w:tcW w:type="pct" w:w="7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Consulting</w:t>
            </w:r>
          </w:p>
        </w:tc>
        <w:tc>
          <w:tcPr>
            <w:tcW w:type="pct" w:w="3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checkbox</w:t>
            </w:r>
          </w:p>
        </w:tc>
      </w:tr>
      <w:tr>
        <w:trPr>
          <w:cantSplit/>
        </w:trPr>
        <w:tc>
          <w:tcPr>
            <w:tcW w:type="pct" w:w="7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Multiple Services</w:t>
            </w:r>
          </w:p>
        </w:tc>
        <w:tc>
          <w:tcPr>
            <w:tcW w:type="pct" w:w="3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checkbox</w:t>
            </w:r>
          </w:p>
        </w:tc>
      </w:tr>
      <w:tr>
        <w:trPr>
          <w:cantSplit/>
        </w:trPr>
        <w:tc>
          <w:tcPr>
            <w:tcW w:type="pct" w:w="7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IDEX Growth Package</w:t>
            </w:r>
          </w:p>
        </w:tc>
        <w:tc>
          <w:tcPr>
            <w:tcW w:type="pct" w:w="3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checkbox</w:t>
            </w:r>
          </w:p>
        </w:tc>
      </w:tr>
      <w:tr>
        <w:trPr>
          <w:cantSplit/>
        </w:trPr>
        <w:tc>
          <w:tcPr>
            <w:tcW w:type="pct" w:w="7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Other (free text)</w:t>
            </w:r>
          </w:p>
        </w:tc>
        <w:tc>
          <w:tcPr>
            <w:tcW w:type="pct" w:w="3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checkbox + text input</w:t>
            </w:r>
          </w:p>
        </w:tc>
      </w:tr>
    </w:tbl>
    <w:p>
      <w:pPr>
        <w:pStyle w:val="Heading3"/>
        <w:spacing w:after="100" w:before="220" w:line="312"/>
      </w:pPr>
      <w:bookmarkStart w:id="100063" w:name="_Toc100063"/>
      <w:r>
        <w:rPr>
          <w:rFonts w:ascii="Calibri" w:eastAsia="SimHei"/>
          <w:b/>
          <w:bCs/>
          <w:color w:val="0B1220"/>
          <w:sz w:val="24"/>
          <w:szCs w:val="24"/>
        </w:rPr>
        <w:t xml:space="preserve">Behavior</w:t>
      </w:r>
      <w:bookmarkEnd w:id="100063"/>
    </w:p>
    <w:p>
      <w:pPr>
        <w:pStyle w:val="ListParagraph"/>
        <w:numPr>
          <w:ilvl w:val="0"/>
          <w:numId w:val="1"/>
        </w:numPr>
        <w:spacing w:after="60" w:line="312"/>
      </w:pPr>
      <w:r>
        <w:rPr>
          <w:rFonts w:ascii="Calibri" w:eastAsia="Microsoft YaHei"/>
          <w:color w:val="1A2330"/>
          <w:sz w:val="22"/>
          <w:szCs w:val="22"/>
        </w:rPr>
        <w:t xml:space="preserve">On submit, POST to /api/leads with source=idex_lead_form.</w:t>
      </w:r>
    </w:p>
    <w:p>
      <w:pPr>
        <w:pStyle w:val="ListParagraph"/>
        <w:numPr>
          <w:ilvl w:val="0"/>
          <w:numId w:val="1"/>
        </w:numPr>
        <w:spacing w:after="60" w:line="312"/>
      </w:pPr>
      <w:r>
        <w:rPr>
          <w:rFonts w:ascii="Calibri" w:eastAsia="Microsoft YaHei"/>
          <w:color w:val="1A2330"/>
          <w:sz w:val="22"/>
          <w:szCs w:val="22"/>
        </w:rPr>
        <w:t xml:space="preserve">On success, redirect to /idex/thank-you and fire lead_form_submit GA4 event.</w:t>
      </w:r>
    </w:p>
    <w:p>
      <w:pPr>
        <w:pStyle w:val="ListParagraph"/>
        <w:numPr>
          <w:ilvl w:val="0"/>
          <w:numId w:val="1"/>
        </w:numPr>
        <w:spacing w:after="60" w:line="312"/>
      </w:pPr>
      <w:r>
        <w:rPr>
          <w:rFonts w:ascii="Calibri" w:eastAsia="Microsoft YaHei"/>
          <w:color w:val="1A2330"/>
          <w:sz w:val="22"/>
          <w:szCs w:val="22"/>
        </w:rPr>
        <w:t xml:space="preserve">If "IDEX Growth Package" is checked, the CRM lead record is tagged with interest=growth_package and routed to senior sales.</w:t>
      </w:r>
    </w:p>
    <w:p>
      <w:pPr>
        <w:pStyle w:val="ListParagraph"/>
        <w:numPr>
          <w:ilvl w:val="0"/>
          <w:numId w:val="1"/>
        </w:numPr>
        <w:spacing w:after="60" w:line="312"/>
      </w:pPr>
      <w:r>
        <w:rPr>
          <w:rFonts w:ascii="Calibri" w:eastAsia="Microsoft YaHei"/>
          <w:color w:val="1A2330"/>
          <w:sz w:val="22"/>
          <w:szCs w:val="22"/>
        </w:rPr>
        <w:t xml:space="preserve">If "Multiple Services" is checked and 3+ specific services are also selected, apply the Choose-3-Get-1-Free offer logic and tag accordingly.</w:t>
      </w:r>
    </w:p>
    <w:p>
      <w:pPr>
        <w:pStyle w:val="Heading3"/>
        <w:spacing w:after="100" w:before="220" w:line="312"/>
      </w:pPr>
      <w:bookmarkStart w:id="100064" w:name="_Toc100064"/>
      <w:r>
        <w:rPr>
          <w:rFonts w:ascii="Calibri" w:eastAsia="SimHei"/>
          <w:b/>
          <w:bCs/>
          <w:color w:val="0B1220"/>
          <w:sz w:val="24"/>
          <w:szCs w:val="24"/>
        </w:rPr>
        <w:t xml:space="preserve">Acceptance Criteria</w:t>
      </w:r>
      <w:bookmarkEnd w:id="100064"/>
    </w:p>
    <w:p>
      <w:pPr>
        <w:pStyle w:val="ListParagraph"/>
        <w:numPr>
          <w:ilvl w:val="0"/>
          <w:numId w:val="1"/>
        </w:numPr>
        <w:spacing w:after="60" w:line="312"/>
      </w:pPr>
      <w:r>
        <w:rPr>
          <w:rFonts w:ascii="Calibri" w:eastAsia="Microsoft YaHei"/>
          <w:color w:val="1A2330"/>
          <w:sz w:val="22"/>
          <w:szCs w:val="22"/>
        </w:rPr>
        <w:t xml:space="preserve">All required fields validated on submit; inline errors shown for invalid fields.</w:t>
      </w:r>
    </w:p>
    <w:p>
      <w:pPr>
        <w:pStyle w:val="ListParagraph"/>
        <w:numPr>
          <w:ilvl w:val="0"/>
          <w:numId w:val="1"/>
        </w:numPr>
        <w:spacing w:after="60" w:line="312"/>
      </w:pPr>
      <w:r>
        <w:rPr>
          <w:rFonts w:ascii="Calibri" w:eastAsia="Microsoft YaHei"/>
          <w:color w:val="1A2330"/>
          <w:sz w:val="22"/>
          <w:szCs w:val="22"/>
        </w:rPr>
        <w:t xml:space="preserve">Form is fully keyboard-accessible; tab order follows visual order; checkboxes operable via spacebar.</w:t>
      </w:r>
    </w:p>
    <w:p>
      <w:pPr>
        <w:pStyle w:val="ListParagraph"/>
        <w:numPr>
          <w:ilvl w:val="0"/>
          <w:numId w:val="1"/>
        </w:numPr>
        <w:spacing w:after="60" w:line="312"/>
      </w:pPr>
      <w:r>
        <w:rPr>
          <w:rFonts w:ascii="Calibri" w:eastAsia="Microsoft YaHei"/>
          <w:color w:val="1A2330"/>
          <w:sz w:val="22"/>
          <w:szCs w:val="22"/>
        </w:rPr>
        <w:t xml:space="preserve">Spam protection via honeypot field (hidden) + rate-limiting (max 5 submissions per IP per hour).</w:t>
      </w:r>
    </w:p>
    <w:p>
      <w:pPr>
        <w:pStyle w:val="Heading1"/>
        <w:spacing w:after="160" w:before="360" w:line="312"/>
      </w:pPr>
      <w:bookmarkStart w:id="100065" w:name="_Toc100065"/>
      <w:r>
        <w:rPr>
          <w:rFonts w:ascii="Calibri" w:eastAsia="SimHei"/>
          <w:b/>
          <w:bCs/>
          <w:color w:val="0B1220"/>
          <w:sz w:val="32"/>
          <w:szCs w:val="32"/>
        </w:rPr>
        <w:t xml:space="preserve">4. QR Code &amp; Flyier Integration</w:t>
      </w:r>
      <w:bookmarkEnd w:id="100065"/>
    </w:p>
    <w:p>
      <w:pPr>
        <w:pStyle w:val="Heading2"/>
        <w:spacing w:after="120" w:before="280" w:line="312"/>
      </w:pPr>
      <w:bookmarkStart w:id="100066" w:name="_Toc100066"/>
      <w:r>
        <w:rPr>
          <w:rFonts w:ascii="Calibri" w:eastAsia="SimHei"/>
          <w:b/>
          <w:bCs/>
          <w:color w:val="0B1220"/>
          <w:sz w:val="28"/>
          <w:szCs w:val="28"/>
        </w:rPr>
        <w:t xml:space="preserve">4.1 QR Journey</w:t>
      </w:r>
      <w:bookmarkEnd w:id="100066"/>
    </w:p>
    <w:p>
      <w:pPr>
        <w:spacing w:after="100" w:line="312"/>
        <w:ind w:firstLine="0"/>
        <w:jc w:val="both"/>
      </w:pPr>
      <w:r>
        <w:rPr>
          <w:rFonts w:ascii="Calibri" w:eastAsia="Microsoft YaHei"/>
          <w:color w:val="1A2330"/>
          <w:sz w:val="22"/>
          <w:szCs w:val="22"/>
        </w:rPr>
        <w:t xml:space="preserve">The QR code on the IDEX flyer is the primary physical-to-digital bridge. The QR must route to /idex (the landing page) with UTM parameters identifying the source as the flyer — never to the ICEBERG homepage. The flyer artwork and QR generation are covered separately; this section specifies the destination, the UTM convention, and the analytics events that must fire on landing.</w:t>
      </w:r>
    </w:p>
    <w:p>
      <w:pPr>
        <w:pStyle w:val="Heading3"/>
        <w:spacing w:after="100" w:before="220" w:line="312"/>
      </w:pPr>
      <w:bookmarkStart w:id="100067" w:name="_Toc100067"/>
      <w:r>
        <w:rPr>
          <w:rFonts w:ascii="Calibri" w:eastAsia="SimHei"/>
          <w:b/>
          <w:bCs/>
          <w:color w:val="0B1220"/>
          <w:sz w:val="24"/>
          <w:szCs w:val="24"/>
        </w:rPr>
        <w:t xml:space="preserve">QR Destination URL</w:t>
      </w:r>
      <w:bookmarkEnd w:id="100067"/>
    </w:p>
    <w:p>
      <w:pPr>
        <w:shd w:fill="F4F4F4" w:val="clear"/>
        <w:spacing w:after="0" w:line="276"/>
      </w:pPr>
      <w:r>
        <w:rPr>
          <w:rFonts w:ascii="Courier New" w:eastAsia="Courier New"/>
          <w:color w:val="1A2330"/>
          <w:sz w:val="20"/>
          <w:szCs w:val="20"/>
        </w:rPr>
        <w:t xml:space="preserve">https://iceberg.agency/idex?utm_source=qr&amp;utm_medium=flyer&amp;utm_campaign=idex_pre_event&amp;utm_content=idex_flyer_v1</w:t>
      </w:r>
    </w:p>
    <w:p>
      <w:pPr>
        <w:spacing w:after="100" w:line="312"/>
        <w:ind w:firstLine="0"/>
        <w:jc w:val="both"/>
      </w:pPr>
      <w:r>
        <w:rPr>
          <w:rFonts w:ascii="Calibri" w:eastAsia="Microsoft YaHei"/>
          <w:color w:val="1A2330"/>
          <w:sz w:val="22"/>
          <w:szCs w:val="22"/>
        </w:rPr>
        <w:t xml:space="preserve">The utm_content field encodes the flyer version. If multiple flyer variants are printed (e.g. English / Arabic), each gets its own utm_content value (idex_flyer_v1_en, idex_flyer_v1_ar).</w:t>
      </w:r>
    </w:p>
    <w:p>
      <w:pPr>
        <w:pStyle w:val="Heading2"/>
        <w:spacing w:after="120" w:before="280" w:line="312"/>
      </w:pPr>
      <w:bookmarkStart w:id="100068" w:name="_Toc100068"/>
      <w:r>
        <w:rPr>
          <w:rFonts w:ascii="Calibri" w:eastAsia="SimHei"/>
          <w:b/>
          <w:bCs/>
          <w:color w:val="0B1220"/>
          <w:sz w:val="28"/>
          <w:szCs w:val="28"/>
        </w:rPr>
        <w:t xml:space="preserve">4.2 Landing Behavior on QR Scan</w:t>
      </w:r>
      <w:bookmarkEnd w:id="100068"/>
    </w:p>
    <w:p>
      <w:pPr>
        <w:pStyle w:val="ListParagraph"/>
        <w:numPr>
          <w:ilvl w:val="0"/>
          <w:numId w:val="1"/>
        </w:numPr>
        <w:spacing w:after="60" w:line="312"/>
      </w:pPr>
      <w:r>
        <w:rPr>
          <w:rFonts w:ascii="Calibri" w:eastAsia="Microsoft YaHei"/>
          <w:color w:val="1A2330"/>
          <w:sz w:val="22"/>
          <w:szCs w:val="22"/>
        </w:rPr>
        <w:t xml:space="preserve">On landing, fire qr_scan_landed GA4 event with utm_content value as event parameter.</w:t>
      </w:r>
    </w:p>
    <w:p>
      <w:pPr>
        <w:pStyle w:val="ListParagraph"/>
        <w:numPr>
          <w:ilvl w:val="0"/>
          <w:numId w:val="1"/>
        </w:numPr>
        <w:spacing w:after="60" w:line="312"/>
      </w:pPr>
      <w:r>
        <w:rPr>
          <w:rFonts w:ascii="Calibri" w:eastAsia="Microsoft YaHei"/>
          <w:color w:val="1A2330"/>
          <w:sz w:val="22"/>
          <w:szCs w:val="22"/>
        </w:rPr>
        <w:t xml:space="preserve">Show a subtle "Welcome from IDEX" toast at the top of the page for 3 seconds (closes on tap or auto-dismiss).</w:t>
      </w:r>
    </w:p>
    <w:p>
      <w:pPr>
        <w:pStyle w:val="ListParagraph"/>
        <w:numPr>
          <w:ilvl w:val="0"/>
          <w:numId w:val="1"/>
        </w:numPr>
        <w:spacing w:after="60" w:line="312"/>
      </w:pPr>
      <w:r>
        <w:rPr>
          <w:rFonts w:ascii="Calibri" w:eastAsia="Microsoft YaHei"/>
          <w:color w:val="1A2330"/>
          <w:sz w:val="22"/>
          <w:szCs w:val="22"/>
        </w:rPr>
        <w:t xml:space="preserve">Pre-fill the Lead Form's Industry field if utm_content indicates a vertical-specific flyer.</w:t>
      </w:r>
    </w:p>
    <w:p>
      <w:pPr>
        <w:pStyle w:val="Heading2"/>
        <w:spacing w:after="120" w:before="280" w:line="312"/>
      </w:pPr>
      <w:bookmarkStart w:id="100069" w:name="_Toc100069"/>
      <w:r>
        <w:rPr>
          <w:rFonts w:ascii="Calibri" w:eastAsia="SimHei"/>
          <w:b/>
          <w:bCs/>
          <w:color w:val="0B1220"/>
          <w:sz w:val="28"/>
          <w:szCs w:val="28"/>
        </w:rPr>
        <w:t xml:space="preserve">4.3 QR Generation</w:t>
      </w:r>
      <w:bookmarkEnd w:id="100069"/>
    </w:p>
    <w:p>
      <w:pPr>
        <w:spacing w:after="100" w:line="312"/>
        <w:ind w:firstLine="0"/>
        <w:jc w:val="both"/>
      </w:pPr>
      <w:r>
        <w:rPr>
          <w:rFonts w:ascii="Calibri" w:eastAsia="Microsoft YaHei"/>
          <w:color w:val="1A2330"/>
          <w:sz w:val="22"/>
          <w:szCs w:val="22"/>
        </w:rPr>
        <w:t xml:space="preserve">The QR code itself must be generated as a high-resolution SVG (not PNG) for crisp printing at any size. Minimum print size: 25mm × 25mm. Minimum quiet zone: 4 modules. Error correction level: H (high) to tolerate minor printing defects. Use a stable, scannable QR library — do not embed tracking pixels that slow decode time. The QR must redirect via a short vanity URL (e.g. iceberg.agency/idex) that 301-redirects to the full UTM-tagged URL, so the printed QR stays short while analytics attribution is preserved.</w:t>
      </w:r>
    </w:p>
    <w:p>
      <w:pPr>
        <w:pStyle w:val="Heading1"/>
        <w:spacing w:after="160" w:before="360" w:line="312"/>
      </w:pPr>
      <w:bookmarkStart w:id="100070" w:name="_Toc100070"/>
      <w:r>
        <w:rPr>
          <w:rFonts w:ascii="Calibri" w:eastAsia="SimHei"/>
          <w:b/>
          <w:bCs/>
          <w:color w:val="0B1220"/>
          <w:sz w:val="32"/>
          <w:szCs w:val="32"/>
        </w:rPr>
        <w:t xml:space="preserve">5. Lead Management Workflow</w:t>
      </w:r>
      <w:bookmarkEnd w:id="100070"/>
    </w:p>
    <w:p>
      <w:pPr>
        <w:pStyle w:val="Heading2"/>
        <w:spacing w:after="120" w:before="280" w:line="312"/>
      </w:pPr>
      <w:bookmarkStart w:id="100071" w:name="_Toc100071"/>
      <w:r>
        <w:rPr>
          <w:rFonts w:ascii="Calibri" w:eastAsia="SimHei"/>
          <w:b/>
          <w:bCs/>
          <w:color w:val="0B1220"/>
          <w:sz w:val="28"/>
          <w:szCs w:val="28"/>
        </w:rPr>
        <w:t xml:space="preserve">5.1 Lead Sources</w:t>
      </w:r>
      <w:bookmarkEnd w:id="100071"/>
    </w:p>
    <w:p>
      <w:pPr>
        <w:spacing w:after="100" w:line="312"/>
        <w:ind w:firstLine="0"/>
        <w:jc w:val="both"/>
      </w:pPr>
      <w:r>
        <w:rPr>
          <w:rFonts w:ascii="Calibri" w:eastAsia="Microsoft YaHei"/>
          <w:color w:val="1A2330"/>
          <w:sz w:val="22"/>
          <w:szCs w:val="22"/>
        </w:rPr>
        <w:t xml:space="preserve">Three lead paths converge into the same CRM lead store. Each path tags its source so the sales team can prioritize follow-up. The CRM is the single source of truth — no leads are stored only in the website database or in a salesperson's inbox.</w:t>
      </w:r>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gridCol w:w="100"/>
        <w:gridCol w:w="100"/>
      </w:tblGrid>
      <w:tr>
        <w:trPr>
          <w:cantSplit/>
          <w:tblHeader/>
        </w:trPr>
        <w:tc>
          <w:tcPr>
            <w:tcW w:type="pct" w:w="20%"/>
            <w:shd w:fill="D4875A" w:val="clear"/>
            <w:tcMar>
              <w:top w:type="dxa" w:w="80"/>
              <w:left w:type="dxa" w:w="120"/>
              <w:bottom w:type="dxa" w:w="80"/>
              <w:right w:type="dxa" w:w="120"/>
            </w:tcMar>
          </w:tcPr>
          <w:p>
            <w:pPr>
              <w:jc w:val="left"/>
            </w:pPr>
            <w:r>
              <w:rPr>
                <w:rFonts w:ascii="Calibri" w:eastAsia="SimHei"/>
                <w:b/>
                <w:bCs/>
                <w:color w:val="FFFFFF"/>
                <w:sz w:val="20"/>
                <w:szCs w:val="20"/>
              </w:rPr>
              <w:t xml:space="preserve">Source</w:t>
            </w:r>
          </w:p>
        </w:tc>
        <w:tc>
          <w:tcPr>
            <w:tcW w:type="pct" w:w="35%"/>
            <w:shd w:fill="D4875A" w:val="clear"/>
            <w:tcMar>
              <w:top w:type="dxa" w:w="80"/>
              <w:left w:type="dxa" w:w="120"/>
              <w:bottom w:type="dxa" w:w="80"/>
              <w:right w:type="dxa" w:w="120"/>
            </w:tcMar>
          </w:tcPr>
          <w:p>
            <w:pPr>
              <w:jc w:val="left"/>
            </w:pPr>
            <w:r>
              <w:rPr>
                <w:rFonts w:ascii="Calibri" w:eastAsia="SimHei"/>
                <w:b/>
                <w:bCs/>
                <w:color w:val="FFFFFF"/>
                <w:sz w:val="20"/>
                <w:szCs w:val="20"/>
              </w:rPr>
              <w:t xml:space="preserve">Trigger</w:t>
            </w:r>
          </w:p>
        </w:tc>
        <w:tc>
          <w:tcPr>
            <w:tcW w:type="pct" w:w="25%"/>
            <w:shd w:fill="D4875A" w:val="clear"/>
            <w:tcMar>
              <w:top w:type="dxa" w:w="80"/>
              <w:left w:type="dxa" w:w="120"/>
              <w:bottom w:type="dxa" w:w="80"/>
              <w:right w:type="dxa" w:w="120"/>
            </w:tcMar>
          </w:tcPr>
          <w:p>
            <w:pPr>
              <w:jc w:val="left"/>
            </w:pPr>
            <w:r>
              <w:rPr>
                <w:rFonts w:ascii="Calibri" w:eastAsia="SimHei"/>
                <w:b/>
                <w:bCs/>
                <w:color w:val="FFFFFF"/>
                <w:sz w:val="20"/>
                <w:szCs w:val="20"/>
              </w:rPr>
              <w:t xml:space="preserve">Priority</w:t>
            </w:r>
          </w:p>
        </w:tc>
        <w:tc>
          <w:tcPr>
            <w:tcW w:type="pct" w:w="20%"/>
            <w:shd w:fill="D4875A" w:val="clear"/>
            <w:tcMar>
              <w:top w:type="dxa" w:w="80"/>
              <w:left w:type="dxa" w:w="120"/>
              <w:bottom w:type="dxa" w:w="80"/>
              <w:right w:type="dxa" w:w="120"/>
            </w:tcMar>
          </w:tcPr>
          <w:p>
            <w:pPr>
              <w:jc w:val="left"/>
            </w:pPr>
            <w:r>
              <w:rPr>
                <w:rFonts w:ascii="Calibri" w:eastAsia="SimHei"/>
                <w:b/>
                <w:bCs/>
                <w:color w:val="FFFFFF"/>
                <w:sz w:val="20"/>
                <w:szCs w:val="20"/>
              </w:rPr>
              <w:t xml:space="preserve">SLA</w:t>
            </w:r>
          </w:p>
        </w:tc>
      </w:tr>
      <w:tr>
        <w:trPr>
          <w:cantSplit/>
        </w:trPr>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idex_audit</w:t>
            </w:r>
          </w:p>
        </w:tc>
        <w:tc>
          <w:tcPr>
            <w:tcW w:type="pct" w:w="3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Free Audit form submission (Section 06)</w:t>
            </w:r>
          </w:p>
        </w:tc>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High — these leads have actively requested value</w:t>
            </w:r>
          </w:p>
        </w:tc>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Respond within 1 business day</w:t>
            </w:r>
          </w:p>
        </w:tc>
      </w:tr>
      <w:tr>
        <w:trPr>
          <w:cantSplit/>
        </w:trPr>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idex_meeting</w:t>
            </w:r>
          </w:p>
        </w:tc>
        <w:tc>
          <w:tcPr>
            <w:tcW w:type="pct" w:w="3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Calendar booking confirmed (Section 07)</w:t>
            </w:r>
          </w:p>
        </w:tc>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Critical — these leads have committed time</w:t>
            </w:r>
          </w:p>
        </w:tc>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Send confirmation email within 60 seconds; sales prep within 24h</w:t>
            </w:r>
          </w:p>
        </w:tc>
      </w:tr>
      <w:tr>
        <w:trPr>
          <w:cantSplit/>
        </w:trPr>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idex_lead_form</w:t>
            </w:r>
          </w:p>
        </w:tc>
        <w:tc>
          <w:tcPr>
            <w:tcW w:type="pct" w:w="3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Lead Qualification Form submission (Section 08)</w:t>
            </w:r>
          </w:p>
        </w:tc>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Medium — qualify before outreach</w:t>
            </w:r>
          </w:p>
        </w:tc>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Respond within 1 business day</w:t>
            </w:r>
          </w:p>
        </w:tc>
      </w:tr>
      <w:tr>
        <w:trPr>
          <w:cantSplit/>
        </w:trPr>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idex_qr</w:t>
            </w:r>
          </w:p>
        </w:tc>
        <w:tc>
          <w:tcPr>
            <w:tcW w:type="pct" w:w="3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QR scan + manual contact (offline)</w:t>
            </w:r>
          </w:p>
        </w:tc>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Low — passive interest</w:t>
            </w:r>
          </w:p>
        </w:tc>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Add to nurture sequence</w:t>
            </w:r>
          </w:p>
        </w:tc>
      </w:tr>
    </w:tbl>
    <w:p>
      <w:pPr>
        <w:pStyle w:val="Heading2"/>
        <w:spacing w:after="120" w:before="280" w:line="312"/>
      </w:pPr>
      <w:bookmarkStart w:id="100072" w:name="_Toc100072"/>
      <w:r>
        <w:rPr>
          <w:rFonts w:ascii="Calibri" w:eastAsia="SimHei"/>
          <w:b/>
          <w:bCs/>
          <w:color w:val="0B1220"/>
          <w:sz w:val="28"/>
          <w:szCs w:val="28"/>
        </w:rPr>
        <w:t xml:space="preserve">5.2 Lead Record Schema</w:t>
      </w:r>
      <w:bookmarkEnd w:id="100072"/>
    </w:p>
    <w:p>
      <w:pPr>
        <w:spacing w:after="100" w:line="312"/>
        <w:ind w:firstLine="0"/>
        <w:jc w:val="both"/>
      </w:pPr>
      <w:r>
        <w:rPr>
          <w:rFonts w:ascii="Calibri" w:eastAsia="Microsoft YaHei"/>
          <w:color w:val="1A2330"/>
          <w:sz w:val="22"/>
          <w:szCs w:val="22"/>
        </w:rPr>
        <w:t xml:space="preserve">The CRM lead record must contain the following fields. Fields marked Optional may be empty depending on the source path; the source field disambiguates which path created the record.</w:t>
      </w:r>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gridCol w:w="100"/>
      </w:tblGrid>
      <w:tr>
        <w:trPr>
          <w:cantSplit/>
          <w:tblHeader/>
        </w:trPr>
        <w:tc>
          <w:tcPr>
            <w:tcW w:type="pct" w:w="25%"/>
            <w:shd w:fill="D4875A" w:val="clear"/>
            <w:tcMar>
              <w:top w:type="dxa" w:w="80"/>
              <w:left w:type="dxa" w:w="120"/>
              <w:bottom w:type="dxa" w:w="80"/>
              <w:right w:type="dxa" w:w="120"/>
            </w:tcMar>
          </w:tcPr>
          <w:p>
            <w:pPr>
              <w:jc w:val="left"/>
            </w:pPr>
            <w:r>
              <w:rPr>
                <w:rFonts w:ascii="Calibri" w:eastAsia="SimHei"/>
                <w:b/>
                <w:bCs/>
                <w:color w:val="FFFFFF"/>
                <w:sz w:val="20"/>
                <w:szCs w:val="20"/>
              </w:rPr>
              <w:t xml:space="preserve">Field</w:t>
            </w:r>
          </w:p>
        </w:tc>
        <w:tc>
          <w:tcPr>
            <w:tcW w:type="pct" w:w="50%"/>
            <w:shd w:fill="D4875A" w:val="clear"/>
            <w:tcMar>
              <w:top w:type="dxa" w:w="80"/>
              <w:left w:type="dxa" w:w="120"/>
              <w:bottom w:type="dxa" w:w="80"/>
              <w:right w:type="dxa" w:w="120"/>
            </w:tcMar>
          </w:tcPr>
          <w:p>
            <w:pPr>
              <w:jc w:val="left"/>
            </w:pPr>
            <w:r>
              <w:rPr>
                <w:rFonts w:ascii="Calibri" w:eastAsia="SimHei"/>
                <w:b/>
                <w:bCs/>
                <w:color w:val="FFFFFF"/>
                <w:sz w:val="20"/>
                <w:szCs w:val="20"/>
              </w:rPr>
              <w:t xml:space="preserve">Type</w:t>
            </w:r>
          </w:p>
        </w:tc>
        <w:tc>
          <w:tcPr>
            <w:tcW w:type="pct" w:w="25%"/>
            <w:shd w:fill="D4875A" w:val="clear"/>
            <w:tcMar>
              <w:top w:type="dxa" w:w="80"/>
              <w:left w:type="dxa" w:w="120"/>
              <w:bottom w:type="dxa" w:w="80"/>
              <w:right w:type="dxa" w:w="120"/>
            </w:tcMar>
          </w:tcPr>
          <w:p>
            <w:pPr>
              <w:jc w:val="left"/>
            </w:pPr>
            <w:r>
              <w:rPr>
                <w:rFonts w:ascii="Calibri" w:eastAsia="SimHei"/>
                <w:b/>
                <w:bCs/>
                <w:color w:val="FFFFFF"/>
                <w:sz w:val="20"/>
                <w:szCs w:val="20"/>
              </w:rPr>
              <w:t xml:space="preserve">Required</w:t>
            </w:r>
          </w:p>
        </w:tc>
      </w:tr>
      <w:tr>
        <w:trPr>
          <w:cantSplit/>
        </w:trPr>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lead_id</w:t>
            </w:r>
          </w:p>
        </w:tc>
        <w:tc>
          <w:tcPr>
            <w:tcW w:type="pct" w:w="5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uuid</w:t>
            </w:r>
          </w:p>
        </w:tc>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Yes (auto-generated)</w:t>
            </w:r>
          </w:p>
        </w:tc>
      </w:tr>
      <w:tr>
        <w:trPr>
          <w:cantSplit/>
        </w:trPr>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source</w:t>
            </w:r>
          </w:p>
        </w:tc>
        <w:tc>
          <w:tcPr>
            <w:tcW w:type="pct" w:w="5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enum (idex_audit | idex_meeting | idex_lead_form | idex_qr)</w:t>
            </w:r>
          </w:p>
        </w:tc>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Yes</w:t>
            </w:r>
          </w:p>
        </w:tc>
      </w:tr>
      <w:tr>
        <w:trPr>
          <w:cantSplit/>
        </w:trPr>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name</w:t>
            </w:r>
          </w:p>
        </w:tc>
        <w:tc>
          <w:tcPr>
            <w:tcW w:type="pct" w:w="5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text</w:t>
            </w:r>
          </w:p>
        </w:tc>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Yes</w:t>
            </w:r>
          </w:p>
        </w:tc>
      </w:tr>
      <w:tr>
        <w:trPr>
          <w:cantSplit/>
        </w:trPr>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email</w:t>
            </w:r>
          </w:p>
        </w:tc>
        <w:tc>
          <w:tcPr>
            <w:tcW w:type="pct" w:w="5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email</w:t>
            </w:r>
          </w:p>
        </w:tc>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Yes</w:t>
            </w:r>
          </w:p>
        </w:tc>
      </w:tr>
      <w:tr>
        <w:trPr>
          <w:cantSplit/>
        </w:trPr>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phone</w:t>
            </w:r>
          </w:p>
        </w:tc>
        <w:tc>
          <w:tcPr>
            <w:tcW w:type="pct" w:w="5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tel</w:t>
            </w:r>
          </w:p>
        </w:tc>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Optional (recommended)</w:t>
            </w:r>
          </w:p>
        </w:tc>
      </w:tr>
      <w:tr>
        <w:trPr>
          <w:cantSplit/>
        </w:trPr>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company</w:t>
            </w:r>
          </w:p>
        </w:tc>
        <w:tc>
          <w:tcPr>
            <w:tcW w:type="pct" w:w="5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text</w:t>
            </w:r>
          </w:p>
        </w:tc>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Yes</w:t>
            </w:r>
          </w:p>
        </w:tc>
      </w:tr>
      <w:tr>
        <w:trPr>
          <w:cantSplit/>
        </w:trPr>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country</w:t>
            </w:r>
          </w:p>
        </w:tc>
        <w:tc>
          <w:tcPr>
            <w:tcW w:type="pct" w:w="5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text</w:t>
            </w:r>
          </w:p>
        </w:tc>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Optional</w:t>
            </w:r>
          </w:p>
        </w:tc>
      </w:tr>
      <w:tr>
        <w:trPr>
          <w:cantSplit/>
        </w:trPr>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website</w:t>
            </w:r>
          </w:p>
        </w:tc>
        <w:tc>
          <w:tcPr>
            <w:tcW w:type="pct" w:w="5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url</w:t>
            </w:r>
          </w:p>
        </w:tc>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Optional</w:t>
            </w:r>
          </w:p>
        </w:tc>
      </w:tr>
      <w:tr>
        <w:trPr>
          <w:cantSplit/>
        </w:trPr>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industry</w:t>
            </w:r>
          </w:p>
        </w:tc>
        <w:tc>
          <w:tcPr>
            <w:tcW w:type="pct" w:w="5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text</w:t>
            </w:r>
          </w:p>
        </w:tc>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Yes</w:t>
            </w:r>
          </w:p>
        </w:tc>
      </w:tr>
      <w:tr>
        <w:trPr>
          <w:cantSplit/>
        </w:trPr>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position</w:t>
            </w:r>
          </w:p>
        </w:tc>
        <w:tc>
          <w:tcPr>
            <w:tcW w:type="pct" w:w="5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text</w:t>
            </w:r>
          </w:p>
        </w:tc>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Optional</w:t>
            </w:r>
          </w:p>
        </w:tc>
      </w:tr>
      <w:tr>
        <w:trPr>
          <w:cantSplit/>
        </w:trPr>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requirements</w:t>
            </w:r>
          </w:p>
        </w:tc>
        <w:tc>
          <w:tcPr>
            <w:tcW w:type="pct" w:w="5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array of enums</w:t>
            </w:r>
          </w:p>
        </w:tc>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Optional</w:t>
            </w:r>
          </w:p>
        </w:tc>
      </w:tr>
      <w:tr>
        <w:trPr>
          <w:cantSplit/>
        </w:trPr>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interest_tag</w:t>
            </w:r>
          </w:p>
        </w:tc>
        <w:tc>
          <w:tcPr>
            <w:tcW w:type="pct" w:w="5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enum (growth_package | audit_only | multiple_services | other)</w:t>
            </w:r>
          </w:p>
        </w:tc>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Yes</w:t>
            </w:r>
          </w:p>
        </w:tc>
      </w:tr>
      <w:tr>
        <w:trPr>
          <w:cantSplit/>
        </w:trPr>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meeting_time</w:t>
            </w:r>
          </w:p>
        </w:tc>
        <w:tc>
          <w:tcPr>
            <w:tcW w:type="pct" w:w="5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datetime</w:t>
            </w:r>
          </w:p>
        </w:tc>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Optional (set if source=idex_meeting)</w:t>
            </w:r>
          </w:p>
        </w:tc>
      </w:tr>
      <w:tr>
        <w:trPr>
          <w:cantSplit/>
        </w:trPr>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status</w:t>
            </w:r>
          </w:p>
        </w:tc>
        <w:tc>
          <w:tcPr>
            <w:tcW w:type="pct" w:w="5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enum (NEW | CONTACTED | QUALIFIED | SCHEDULED | PROPOSAL | CLOSED | LOST)</w:t>
            </w:r>
          </w:p>
        </w:tc>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Yes</w:t>
            </w:r>
          </w:p>
        </w:tc>
      </w:tr>
      <w:tr>
        <w:trPr>
          <w:cantSplit/>
        </w:trPr>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owner</w:t>
            </w:r>
          </w:p>
        </w:tc>
        <w:tc>
          <w:tcPr>
            <w:tcW w:type="pct" w:w="5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text (salesperson)</w:t>
            </w:r>
          </w:p>
        </w:tc>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Yes (auto-assigned round-robin)</w:t>
            </w:r>
          </w:p>
        </w:tc>
      </w:tr>
      <w:tr>
        <w:trPr>
          <w:cantSplit/>
        </w:trPr>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created_at</w:t>
            </w:r>
          </w:p>
        </w:tc>
        <w:tc>
          <w:tcPr>
            <w:tcW w:type="pct" w:w="5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datetime</w:t>
            </w:r>
          </w:p>
        </w:tc>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Yes (auto)</w:t>
            </w:r>
          </w:p>
        </w:tc>
      </w:tr>
      <w:tr>
        <w:trPr>
          <w:cantSplit/>
        </w:trPr>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updated_at</w:t>
            </w:r>
          </w:p>
        </w:tc>
        <w:tc>
          <w:tcPr>
            <w:tcW w:type="pct" w:w="5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datetime</w:t>
            </w:r>
          </w:p>
        </w:tc>
        <w:tc>
          <w:tcPr>
            <w:tcW w:type="pct" w:w="2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Yes (auto)</w:t>
            </w:r>
          </w:p>
        </w:tc>
      </w:tr>
    </w:tbl>
    <w:p>
      <w:pPr>
        <w:pStyle w:val="Heading2"/>
        <w:spacing w:after="120" w:before="280" w:line="312"/>
      </w:pPr>
      <w:bookmarkStart w:id="100073" w:name="_Toc100073"/>
      <w:r>
        <w:rPr>
          <w:rFonts w:ascii="Calibri" w:eastAsia="SimHei"/>
          <w:b/>
          <w:bCs/>
          <w:color w:val="0B1220"/>
          <w:sz w:val="28"/>
          <w:szCs w:val="28"/>
        </w:rPr>
        <w:t xml:space="preserve">5.3 Status Lifecycle</w:t>
      </w:r>
      <w:bookmarkEnd w:id="100073"/>
    </w:p>
    <w:p>
      <w:pPr>
        <w:spacing w:after="100" w:line="312"/>
        <w:ind w:firstLine="0"/>
        <w:jc w:val="both"/>
      </w:pPr>
      <w:r>
        <w:rPr>
          <w:rFonts w:ascii="Calibri" w:eastAsia="Microsoft YaHei"/>
          <w:color w:val="1A2330"/>
          <w:sz w:val="22"/>
          <w:szCs w:val="22"/>
        </w:rPr>
        <w:t xml:space="preserve">Every lead moves through a defined status lifecycle. Transitions are logged with timestamp and owner. The status field is the primary filter for the sales team's daily queue.</w:t>
      </w:r>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gridCol w:w="100"/>
      </w:tblGrid>
      <w:tr>
        <w:trPr>
          <w:cantSplit/>
          <w:tblHeader/>
        </w:trPr>
        <w:tc>
          <w:tcPr>
            <w:tcW w:type="pct" w:w="22%"/>
            <w:shd w:fill="D4875A" w:val="clear"/>
            <w:tcMar>
              <w:top w:type="dxa" w:w="80"/>
              <w:left w:type="dxa" w:w="120"/>
              <w:bottom w:type="dxa" w:w="80"/>
              <w:right w:type="dxa" w:w="120"/>
            </w:tcMar>
          </w:tcPr>
          <w:p>
            <w:pPr>
              <w:jc w:val="left"/>
            </w:pPr>
            <w:r>
              <w:rPr>
                <w:rFonts w:ascii="Calibri" w:eastAsia="SimHei"/>
                <w:b/>
                <w:bCs/>
                <w:color w:val="FFFFFF"/>
                <w:sz w:val="20"/>
                <w:szCs w:val="20"/>
              </w:rPr>
              <w:t xml:space="preserve">From</w:t>
            </w:r>
          </w:p>
        </w:tc>
        <w:tc>
          <w:tcPr>
            <w:tcW w:type="pct" w:w="22%"/>
            <w:shd w:fill="D4875A" w:val="clear"/>
            <w:tcMar>
              <w:top w:type="dxa" w:w="80"/>
              <w:left w:type="dxa" w:w="120"/>
              <w:bottom w:type="dxa" w:w="80"/>
              <w:right w:type="dxa" w:w="120"/>
            </w:tcMar>
          </w:tcPr>
          <w:p>
            <w:pPr>
              <w:jc w:val="left"/>
            </w:pPr>
            <w:r>
              <w:rPr>
                <w:rFonts w:ascii="Calibri" w:eastAsia="SimHei"/>
                <w:b/>
                <w:bCs/>
                <w:color w:val="FFFFFF"/>
                <w:sz w:val="20"/>
                <w:szCs w:val="20"/>
              </w:rPr>
              <w:t xml:space="preserve">To</w:t>
            </w:r>
          </w:p>
        </w:tc>
        <w:tc>
          <w:tcPr>
            <w:tcW w:type="pct" w:w="56%"/>
            <w:shd w:fill="D4875A" w:val="clear"/>
            <w:tcMar>
              <w:top w:type="dxa" w:w="80"/>
              <w:left w:type="dxa" w:w="120"/>
              <w:bottom w:type="dxa" w:w="80"/>
              <w:right w:type="dxa" w:w="120"/>
            </w:tcMar>
          </w:tcPr>
          <w:p>
            <w:pPr>
              <w:jc w:val="left"/>
            </w:pPr>
            <w:r>
              <w:rPr>
                <w:rFonts w:ascii="Calibri" w:eastAsia="SimHei"/>
                <w:b/>
                <w:bCs/>
                <w:color w:val="FFFFFF"/>
                <w:sz w:val="20"/>
                <w:szCs w:val="20"/>
              </w:rPr>
              <w:t xml:space="preserve">Trigger</w:t>
            </w:r>
          </w:p>
        </w:tc>
      </w:tr>
      <w:tr>
        <w:trPr>
          <w:cantSplit/>
        </w:trPr>
        <w:tc>
          <w:tcPr>
            <w:tcW w:type="pct" w:w="22%"/>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(none)</w:t>
            </w:r>
          </w:p>
        </w:tc>
        <w:tc>
          <w:tcPr>
            <w:tcW w:type="pct" w:w="22%"/>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NEW</w:t>
            </w:r>
          </w:p>
        </w:tc>
        <w:tc>
          <w:tcPr>
            <w:tcW w:type="pct" w:w="56%"/>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Lead form submission or QR scan</w:t>
            </w:r>
          </w:p>
        </w:tc>
      </w:tr>
      <w:tr>
        <w:trPr>
          <w:cantSplit/>
        </w:trPr>
        <w:tc>
          <w:tcPr>
            <w:tcW w:type="pct" w:w="22%"/>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NEW</w:t>
            </w:r>
          </w:p>
        </w:tc>
        <w:tc>
          <w:tcPr>
            <w:tcW w:type="pct" w:w="22%"/>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CONTACTED</w:t>
            </w:r>
          </w:p>
        </w:tc>
        <w:tc>
          <w:tcPr>
            <w:tcW w:type="pct" w:w="56%"/>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Sales sends first outreach email or makes first call</w:t>
            </w:r>
          </w:p>
        </w:tc>
      </w:tr>
      <w:tr>
        <w:trPr>
          <w:cantSplit/>
        </w:trPr>
        <w:tc>
          <w:tcPr>
            <w:tcW w:type="pct" w:w="22%"/>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CONTACTED</w:t>
            </w:r>
          </w:p>
        </w:tc>
        <w:tc>
          <w:tcPr>
            <w:tcW w:type="pct" w:w="22%"/>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QUALIFIED</w:t>
            </w:r>
          </w:p>
        </w:tc>
        <w:tc>
          <w:tcPr>
            <w:tcW w:type="pct" w:w="56%"/>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Sales confirms budget, authority, need, timeline (BANT)</w:t>
            </w:r>
          </w:p>
        </w:tc>
      </w:tr>
      <w:tr>
        <w:trPr>
          <w:cantSplit/>
        </w:trPr>
        <w:tc>
          <w:tcPr>
            <w:tcW w:type="pct" w:w="22%"/>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QUALIFIED</w:t>
            </w:r>
          </w:p>
        </w:tc>
        <w:tc>
          <w:tcPr>
            <w:tcW w:type="pct" w:w="22%"/>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SCHEDULED</w:t>
            </w:r>
          </w:p>
        </w:tc>
        <w:tc>
          <w:tcPr>
            <w:tcW w:type="pct" w:w="56%"/>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Meeting booked via calendar (or directly by sales)</w:t>
            </w:r>
          </w:p>
        </w:tc>
      </w:tr>
      <w:tr>
        <w:trPr>
          <w:cantSplit/>
        </w:trPr>
        <w:tc>
          <w:tcPr>
            <w:tcW w:type="pct" w:w="22%"/>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SCHEDULED</w:t>
            </w:r>
          </w:p>
        </w:tc>
        <w:tc>
          <w:tcPr>
            <w:tcW w:type="pct" w:w="22%"/>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PROPOSAL</w:t>
            </w:r>
          </w:p>
        </w:tc>
        <w:tc>
          <w:tcPr>
            <w:tcW w:type="pct" w:w="56%"/>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Meeting held; proposal sent</w:t>
            </w:r>
          </w:p>
        </w:tc>
      </w:tr>
      <w:tr>
        <w:trPr>
          <w:cantSplit/>
        </w:trPr>
        <w:tc>
          <w:tcPr>
            <w:tcW w:type="pct" w:w="22%"/>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PROPOSAL</w:t>
            </w:r>
          </w:p>
        </w:tc>
        <w:tc>
          <w:tcPr>
            <w:tcW w:type="pct" w:w="22%"/>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CLOSED</w:t>
            </w:r>
          </w:p>
        </w:tc>
        <w:tc>
          <w:tcPr>
            <w:tcW w:type="pct" w:w="56%"/>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Proposal accepted; contract signed</w:t>
            </w:r>
          </w:p>
        </w:tc>
      </w:tr>
      <w:tr>
        <w:trPr>
          <w:cantSplit/>
        </w:trPr>
        <w:tc>
          <w:tcPr>
            <w:tcW w:type="pct" w:w="22%"/>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PROPOSAL</w:t>
            </w:r>
          </w:p>
        </w:tc>
        <w:tc>
          <w:tcPr>
            <w:tcW w:type="pct" w:w="22%"/>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LOST</w:t>
            </w:r>
          </w:p>
        </w:tc>
        <w:tc>
          <w:tcPr>
            <w:tcW w:type="pct" w:w="56%"/>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Proposal rejected or no response after 30 days</w:t>
            </w:r>
          </w:p>
        </w:tc>
      </w:tr>
    </w:tbl>
    <w:p>
      <w:pPr>
        <w:pStyle w:val="Heading2"/>
        <w:spacing w:after="120" w:before="280" w:line="312"/>
      </w:pPr>
      <w:bookmarkStart w:id="100074" w:name="_Toc100074"/>
      <w:r>
        <w:rPr>
          <w:rFonts w:ascii="Calibri" w:eastAsia="SimHei"/>
          <w:b/>
          <w:bCs/>
          <w:color w:val="0B1220"/>
          <w:sz w:val="28"/>
          <w:szCs w:val="28"/>
        </w:rPr>
        <w:t xml:space="preserve">5.4 Notifications &amp; Routing</w:t>
      </w:r>
      <w:bookmarkEnd w:id="100074"/>
    </w:p>
    <w:p>
      <w:pPr>
        <w:pStyle w:val="ListParagraph"/>
        <w:numPr>
          <w:ilvl w:val="0"/>
          <w:numId w:val="1"/>
        </w:numPr>
        <w:spacing w:after="60" w:line="312"/>
      </w:pPr>
      <w:r>
        <w:rPr>
          <w:rFonts w:ascii="Calibri" w:eastAsia="Microsoft YaHei"/>
          <w:color w:val="1A2330"/>
          <w:sz w:val="22"/>
          <w:szCs w:val="22"/>
        </w:rPr>
        <w:t xml:space="preserve">On new lead: notify assigned owner via email + Slack/Teams within 60 seconds.</w:t>
      </w:r>
    </w:p>
    <w:p>
      <w:pPr>
        <w:pStyle w:val="ListParagraph"/>
        <w:numPr>
          <w:ilvl w:val="0"/>
          <w:numId w:val="1"/>
        </w:numPr>
        <w:spacing w:after="60" w:line="312"/>
      </w:pPr>
      <w:r>
        <w:rPr>
          <w:rFonts w:ascii="Calibri" w:eastAsia="Microsoft YaHei"/>
          <w:color w:val="1A2330"/>
          <w:sz w:val="22"/>
          <w:szCs w:val="22"/>
        </w:rPr>
        <w:t xml:space="preserve">On meeting booking: notify owner + create calendar event on owner's calendar.</w:t>
      </w:r>
    </w:p>
    <w:p>
      <w:pPr>
        <w:pStyle w:val="ListParagraph"/>
        <w:numPr>
          <w:ilvl w:val="0"/>
          <w:numId w:val="1"/>
        </w:numPr>
        <w:spacing w:after="60" w:line="312"/>
      </w:pPr>
      <w:r>
        <w:rPr>
          <w:rFonts w:ascii="Calibri" w:eastAsia="Microsoft YaHei"/>
          <w:color w:val="1A2330"/>
          <w:sz w:val="22"/>
          <w:szCs w:val="22"/>
        </w:rPr>
        <w:t xml:space="preserve">On status change: log transition in audit trail; no manual status edit by sales without a logged reason.</w:t>
      </w:r>
    </w:p>
    <w:p>
      <w:pPr>
        <w:pStyle w:val="ListParagraph"/>
        <w:numPr>
          <w:ilvl w:val="0"/>
          <w:numId w:val="1"/>
        </w:numPr>
        <w:spacing w:after="60" w:line="312"/>
      </w:pPr>
      <w:r>
        <w:rPr>
          <w:rFonts w:ascii="Calibri" w:eastAsia="Microsoft YaHei"/>
          <w:color w:val="1A2330"/>
          <w:sz w:val="22"/>
          <w:szCs w:val="22"/>
        </w:rPr>
        <w:t xml:space="preserve">Daily digest: owner receives a morning summary of new leads, scheduled meetings, and overdue follow-ups.</w:t>
      </w:r>
    </w:p>
    <w:p>
      <w:pPr>
        <w:pStyle w:val="Heading1"/>
        <w:spacing w:after="160" w:before="360" w:line="312"/>
      </w:pPr>
      <w:bookmarkStart w:id="100075" w:name="_Toc100075"/>
      <w:r>
        <w:rPr>
          <w:rFonts w:ascii="Calibri" w:eastAsia="SimHei"/>
          <w:b/>
          <w:bCs/>
          <w:color w:val="0B1220"/>
          <w:sz w:val="32"/>
          <w:szCs w:val="32"/>
        </w:rPr>
        <w:t xml:space="preserve">6. Internal Calendar Integration</w:t>
      </w:r>
      <w:bookmarkEnd w:id="100075"/>
    </w:p>
    <w:p>
      <w:pPr>
        <w:pStyle w:val="Heading2"/>
        <w:spacing w:after="120" w:before="280" w:line="312"/>
      </w:pPr>
      <w:bookmarkStart w:id="100076" w:name="_Toc100076"/>
      <w:r>
        <w:rPr>
          <w:rFonts w:ascii="Calibri" w:eastAsia="SimHei"/>
          <w:b/>
          <w:bCs/>
          <w:color w:val="0B1220"/>
          <w:sz w:val="28"/>
          <w:szCs w:val="28"/>
        </w:rPr>
        <w:t xml:space="preserve">6.1 Purpose</w:t>
      </w:r>
      <w:bookmarkEnd w:id="100076"/>
    </w:p>
    <w:p>
      <w:pPr>
        <w:spacing w:after="100" w:line="312"/>
        <w:ind w:firstLine="0"/>
        <w:jc w:val="both"/>
      </w:pPr>
      <w:r>
        <w:rPr>
          <w:rFonts w:ascii="Calibri" w:eastAsia="Microsoft YaHei"/>
          <w:color w:val="1A2330"/>
          <w:sz w:val="22"/>
          <w:szCs w:val="22"/>
        </w:rPr>
        <w:t xml:space="preserve">The internal calendar manages available meeting slots, booked meetings, client information, meeting status, follow-ups, and sales ownership. It is integrated into the website/landing-page system so that bookings on the public calendar (Section 07) appear in the internal management view without manual sync. The calendar ultimately becomes part of the ICEBERG lead-management workflow described in Chapter 5.</w:t>
      </w:r>
    </w:p>
    <w:p>
      <w:pPr>
        <w:pStyle w:val="Heading2"/>
        <w:spacing w:after="120" w:before="280" w:line="312"/>
      </w:pPr>
      <w:bookmarkStart w:id="100077" w:name="_Toc100077"/>
      <w:r>
        <w:rPr>
          <w:rFonts w:ascii="Calibri" w:eastAsia="SimHei"/>
          <w:b/>
          <w:bCs/>
          <w:color w:val="0B1220"/>
          <w:sz w:val="28"/>
          <w:szCs w:val="28"/>
        </w:rPr>
        <w:t xml:space="preserve">6.2 Calendar Views</w:t>
      </w:r>
      <w:bookmarkEnd w:id="100077"/>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gridCol w:w="100"/>
      </w:tblGrid>
      <w:tr>
        <w:trPr>
          <w:cantSplit/>
          <w:tblHeader/>
        </w:trPr>
        <w:tc>
          <w:tcPr>
            <w:tcW w:type="pct" w:w="20%"/>
            <w:shd w:fill="D4875A" w:val="clear"/>
            <w:tcMar>
              <w:top w:type="dxa" w:w="80"/>
              <w:left w:type="dxa" w:w="120"/>
              <w:bottom w:type="dxa" w:w="80"/>
              <w:right w:type="dxa" w:w="120"/>
            </w:tcMar>
          </w:tcPr>
          <w:p>
            <w:pPr>
              <w:jc w:val="left"/>
            </w:pPr>
            <w:r>
              <w:rPr>
                <w:rFonts w:ascii="Calibri" w:eastAsia="SimHei"/>
                <w:b/>
                <w:bCs/>
                <w:color w:val="FFFFFF"/>
                <w:sz w:val="20"/>
                <w:szCs w:val="20"/>
              </w:rPr>
              <w:t xml:space="preserve">View</w:t>
            </w:r>
          </w:p>
        </w:tc>
        <w:tc>
          <w:tcPr>
            <w:tcW w:type="pct" w:w="50%"/>
            <w:shd w:fill="D4875A" w:val="clear"/>
            <w:tcMar>
              <w:top w:type="dxa" w:w="80"/>
              <w:left w:type="dxa" w:w="120"/>
              <w:bottom w:type="dxa" w:w="80"/>
              <w:right w:type="dxa" w:w="120"/>
            </w:tcMar>
          </w:tcPr>
          <w:p>
            <w:pPr>
              <w:jc w:val="left"/>
            </w:pPr>
            <w:r>
              <w:rPr>
                <w:rFonts w:ascii="Calibri" w:eastAsia="SimHei"/>
                <w:b/>
                <w:bCs/>
                <w:color w:val="FFFFFF"/>
                <w:sz w:val="20"/>
                <w:szCs w:val="20"/>
              </w:rPr>
              <w:t xml:space="preserve">Purpose</w:t>
            </w:r>
          </w:p>
        </w:tc>
        <w:tc>
          <w:tcPr>
            <w:tcW w:type="pct" w:w="30%"/>
            <w:shd w:fill="D4875A" w:val="clear"/>
            <w:tcMar>
              <w:top w:type="dxa" w:w="80"/>
              <w:left w:type="dxa" w:w="120"/>
              <w:bottom w:type="dxa" w:w="80"/>
              <w:right w:type="dxa" w:w="120"/>
            </w:tcMar>
          </w:tcPr>
          <w:p>
            <w:pPr>
              <w:jc w:val="left"/>
            </w:pPr>
            <w:r>
              <w:rPr>
                <w:rFonts w:ascii="Calibri" w:eastAsia="SimHei"/>
                <w:b/>
                <w:bCs/>
                <w:color w:val="FFFFFF"/>
                <w:sz w:val="20"/>
                <w:szCs w:val="20"/>
              </w:rPr>
              <w:t xml:space="preserve">Users</w:t>
            </w:r>
          </w:p>
        </w:tc>
      </w:tr>
      <w:tr>
        <w:trPr>
          <w:cantSplit/>
        </w:trPr>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Day View</w:t>
            </w:r>
          </w:p>
        </w:tc>
        <w:tc>
          <w:tcPr>
            <w:tcW w:type="pct" w:w="5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Per-day slot grid; shows bookings, holds, and free slots.</w:t>
            </w:r>
          </w:p>
        </w:tc>
        <w:tc>
          <w:tcPr>
            <w:tcW w:type="pct" w:w="3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Sales owners</w:t>
            </w:r>
          </w:p>
        </w:tc>
      </w:tr>
      <w:tr>
        <w:trPr>
          <w:cantSplit/>
        </w:trPr>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Week View</w:t>
            </w:r>
          </w:p>
        </w:tc>
        <w:tc>
          <w:tcPr>
            <w:tcW w:type="pct" w:w="5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Per-week overview; helps plan outreach and follow-ups.</w:t>
            </w:r>
          </w:p>
        </w:tc>
        <w:tc>
          <w:tcPr>
            <w:tcW w:type="pct" w:w="3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Sales owners, sales lead</w:t>
            </w:r>
          </w:p>
        </w:tc>
      </w:tr>
      <w:tr>
        <w:trPr>
          <w:cantSplit/>
        </w:trPr>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Month View</w:t>
            </w:r>
          </w:p>
        </w:tc>
        <w:tc>
          <w:tcPr>
            <w:tcW w:type="pct" w:w="5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Capacity planning; shows density of bookings across the campaign.</w:t>
            </w:r>
          </w:p>
        </w:tc>
        <w:tc>
          <w:tcPr>
            <w:tcW w:type="pct" w:w="3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Sales lead, management</w:t>
            </w:r>
          </w:p>
        </w:tc>
      </w:tr>
      <w:tr>
        <w:trPr>
          <w:cantSplit/>
        </w:trPr>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Owner View</w:t>
            </w:r>
          </w:p>
        </w:tc>
        <w:tc>
          <w:tcPr>
            <w:tcW w:type="pct" w:w="5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Filter by sales owner; shows each rep's pipeline and capacity.</w:t>
            </w:r>
          </w:p>
        </w:tc>
        <w:tc>
          <w:tcPr>
            <w:tcW w:type="pct" w:w="3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Sales lead</w:t>
            </w:r>
          </w:p>
        </w:tc>
      </w:tr>
      <w:tr>
        <w:trPr>
          <w:cantSplit/>
        </w:trPr>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Lead View</w:t>
            </w:r>
          </w:p>
        </w:tc>
        <w:tc>
          <w:tcPr>
            <w:tcW w:type="pct" w:w="5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Cross-reference a lead's bookings, status, and notes.</w:t>
            </w:r>
          </w:p>
        </w:tc>
        <w:tc>
          <w:tcPr>
            <w:tcW w:type="pct" w:w="3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Sales owners, sales lead</w:t>
            </w:r>
          </w:p>
        </w:tc>
      </w:tr>
    </w:tbl>
    <w:p>
      <w:pPr>
        <w:pStyle w:val="Heading2"/>
        <w:spacing w:after="120" w:before="280" w:line="312"/>
      </w:pPr>
      <w:bookmarkStart w:id="100078" w:name="_Toc100078"/>
      <w:r>
        <w:rPr>
          <w:rFonts w:ascii="Calibri" w:eastAsia="SimHei"/>
          <w:b/>
          <w:bCs/>
          <w:color w:val="0B1220"/>
          <w:sz w:val="28"/>
          <w:szCs w:val="28"/>
        </w:rPr>
        <w:t xml:space="preserve">6.3 Slot Management</w:t>
      </w:r>
      <w:bookmarkEnd w:id="100078"/>
    </w:p>
    <w:p>
      <w:pPr>
        <w:spacing w:after="100" w:line="312"/>
        <w:ind w:firstLine="0"/>
        <w:jc w:val="both"/>
      </w:pPr>
      <w:r>
        <w:rPr>
          <w:rFonts w:ascii="Calibri" w:eastAsia="Microsoft YaHei"/>
          <w:color w:val="1A2330"/>
          <w:sz w:val="22"/>
          <w:szCs w:val="22"/>
        </w:rPr>
        <w:t xml:space="preserve">Slots are configurable per sales owner. Default slot template: 09:00–17:00 local time (Africa/Cairo), 60-minute meetings, 15-minute breaks between meetings. Slots close 4 hours before start time to prevent last-minute bookings. Slots can be marked unavailable manually (e.g. for internal meetings, holidays).</w:t>
      </w:r>
    </w:p>
    <w:p>
      <w:pPr>
        <w:pStyle w:val="Heading2"/>
        <w:spacing w:after="120" w:before="280" w:line="312"/>
      </w:pPr>
      <w:bookmarkStart w:id="100079" w:name="_Toc100079"/>
      <w:r>
        <w:rPr>
          <w:rFonts w:ascii="Calibri" w:eastAsia="SimHei"/>
          <w:b/>
          <w:bCs/>
          <w:color w:val="0B1220"/>
          <w:sz w:val="28"/>
          <w:szCs w:val="28"/>
        </w:rPr>
        <w:t xml:space="preserve">6.4 Booking Lifecycle</w:t>
      </w:r>
      <w:bookmarkEnd w:id="100079"/>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gridCol w:w="100"/>
      </w:tblGrid>
      <w:tr>
        <w:trPr>
          <w:cantSplit/>
          <w:tblHeader/>
        </w:trPr>
        <w:tc>
          <w:tcPr>
            <w:tcW w:type="pct" w:w="20%"/>
            <w:shd w:fill="D4875A" w:val="clear"/>
            <w:tcMar>
              <w:top w:type="dxa" w:w="80"/>
              <w:left w:type="dxa" w:w="120"/>
              <w:bottom w:type="dxa" w:w="80"/>
              <w:right w:type="dxa" w:w="120"/>
            </w:tcMar>
          </w:tcPr>
          <w:p>
            <w:pPr>
              <w:jc w:val="left"/>
            </w:pPr>
            <w:r>
              <w:rPr>
                <w:rFonts w:ascii="Calibri" w:eastAsia="SimHei"/>
                <w:b/>
                <w:bCs/>
                <w:color w:val="FFFFFF"/>
                <w:sz w:val="20"/>
                <w:szCs w:val="20"/>
              </w:rPr>
              <w:t xml:space="preserve">State</w:t>
            </w:r>
          </w:p>
        </w:tc>
        <w:tc>
          <w:tcPr>
            <w:tcW w:type="pct" w:w="60%"/>
            <w:shd w:fill="D4875A" w:val="clear"/>
            <w:tcMar>
              <w:top w:type="dxa" w:w="80"/>
              <w:left w:type="dxa" w:w="120"/>
              <w:bottom w:type="dxa" w:w="80"/>
              <w:right w:type="dxa" w:w="120"/>
            </w:tcMar>
          </w:tcPr>
          <w:p>
            <w:pPr>
              <w:jc w:val="left"/>
            </w:pPr>
            <w:r>
              <w:rPr>
                <w:rFonts w:ascii="Calibri" w:eastAsia="SimHei"/>
                <w:b/>
                <w:bCs/>
                <w:color w:val="FFFFFF"/>
                <w:sz w:val="20"/>
                <w:szCs w:val="20"/>
              </w:rPr>
              <w:t xml:space="preserve">Meaning</w:t>
            </w:r>
          </w:p>
        </w:tc>
        <w:tc>
          <w:tcPr>
            <w:tcW w:type="pct" w:w="20%"/>
            <w:shd w:fill="D4875A" w:val="clear"/>
            <w:tcMar>
              <w:top w:type="dxa" w:w="80"/>
              <w:left w:type="dxa" w:w="120"/>
              <w:bottom w:type="dxa" w:w="80"/>
              <w:right w:type="dxa" w:w="120"/>
            </w:tcMar>
          </w:tcPr>
          <w:p>
            <w:pPr>
              <w:jc w:val="left"/>
            </w:pPr>
            <w:r>
              <w:rPr>
                <w:rFonts w:ascii="Calibri" w:eastAsia="SimHei"/>
                <w:b/>
                <w:bCs/>
                <w:color w:val="FFFFFF"/>
                <w:sz w:val="20"/>
                <w:szCs w:val="20"/>
              </w:rPr>
              <w:t xml:space="preserve">Visible on public calendar?</w:t>
            </w:r>
          </w:p>
        </w:tc>
      </w:tr>
      <w:tr>
        <w:trPr>
          <w:cantSplit/>
        </w:trPr>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AVAILABLE</w:t>
            </w:r>
          </w:p>
        </w:tc>
        <w:tc>
          <w:tcPr>
            <w:tcW w:type="pct" w:w="6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Slot is open and bookable by visitors.</w:t>
            </w:r>
          </w:p>
        </w:tc>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Yes</w:t>
            </w:r>
          </w:p>
        </w:tc>
      </w:tr>
      <w:tr>
        <w:trPr>
          <w:cantSplit/>
        </w:trPr>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HELD</w:t>
            </w:r>
          </w:p>
        </w:tc>
        <w:tc>
          <w:tcPr>
            <w:tcW w:type="pct" w:w="6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Visitor is in step 3 (Enter Details) — 60-second hold.</w:t>
            </w:r>
          </w:p>
        </w:tc>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No (appears booked to other visitors)</w:t>
            </w:r>
          </w:p>
        </w:tc>
      </w:tr>
      <w:tr>
        <w:trPr>
          <w:cantSplit/>
        </w:trPr>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BOOKED</w:t>
            </w:r>
          </w:p>
        </w:tc>
        <w:tc>
          <w:tcPr>
            <w:tcW w:type="pct" w:w="6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Meeting confirmed; calendar invite sent.</w:t>
            </w:r>
          </w:p>
        </w:tc>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No</w:t>
            </w:r>
          </w:p>
        </w:tc>
      </w:tr>
      <w:tr>
        <w:trPr>
          <w:cantSplit/>
        </w:trPr>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CANCELLED</w:t>
            </w:r>
          </w:p>
        </w:tc>
        <w:tc>
          <w:tcPr>
            <w:tcW w:type="pct" w:w="6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Visitor or owner cancelled; slot may reopen.</w:t>
            </w:r>
          </w:p>
        </w:tc>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No</w:t>
            </w:r>
          </w:p>
        </w:tc>
      </w:tr>
      <w:tr>
        <w:trPr>
          <w:cantSplit/>
        </w:trPr>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COMPLETED</w:t>
            </w:r>
          </w:p>
        </w:tc>
        <w:tc>
          <w:tcPr>
            <w:tcW w:type="pct" w:w="6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Meeting held; lead status updated post-meeting.</w:t>
            </w:r>
          </w:p>
        </w:tc>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No</w:t>
            </w:r>
          </w:p>
        </w:tc>
      </w:tr>
      <w:tr>
        <w:trPr>
          <w:cantSplit/>
        </w:trPr>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NO-SHOW</w:t>
            </w:r>
          </w:p>
        </w:tc>
        <w:tc>
          <w:tcPr>
            <w:tcW w:type="pct" w:w="6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Visitor did not attend; flagged for follow-up.</w:t>
            </w:r>
          </w:p>
        </w:tc>
        <w:tc>
          <w:tcPr>
            <w:tcW w:type="pct" w:w="2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No</w:t>
            </w:r>
          </w:p>
        </w:tc>
      </w:tr>
    </w:tbl>
    <w:p>
      <w:pPr>
        <w:pStyle w:val="Heading2"/>
        <w:spacing w:after="120" w:before="280" w:line="312"/>
      </w:pPr>
      <w:bookmarkStart w:id="100080" w:name="_Toc100080"/>
      <w:r>
        <w:rPr>
          <w:rFonts w:ascii="Calibri" w:eastAsia="SimHei"/>
          <w:b/>
          <w:bCs/>
          <w:color w:val="0B1220"/>
          <w:sz w:val="28"/>
          <w:szCs w:val="28"/>
        </w:rPr>
        <w:t xml:space="preserve">6.5 Internal Calendar API</w:t>
      </w:r>
      <w:bookmarkEnd w:id="100080"/>
    </w:p>
    <w:p>
      <w:pPr>
        <w:spacing w:after="100" w:line="312"/>
        <w:ind w:firstLine="0"/>
        <w:jc w:val="both"/>
      </w:pPr>
      <w:r>
        <w:rPr>
          <w:rFonts w:ascii="Calibri" w:eastAsia="Microsoft YaHei"/>
          <w:color w:val="1A2330"/>
          <w:sz w:val="22"/>
          <w:szCs w:val="22"/>
        </w:rPr>
        <w:t xml:space="preserve">The internal calendar exposes the following API endpoints to the landing page and the sales management dashboard. All endpoints require authentication; the landing page uses a service token scoped to slot read + booking create only.</w:t>
      </w:r>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gridCol w:w="100"/>
      </w:tblGrid>
      <w:tr>
        <w:trPr>
          <w:cantSplit/>
          <w:tblHeader/>
        </w:trPr>
        <w:tc>
          <w:tcPr>
            <w:tcW w:type="pct" w:w="40%"/>
            <w:shd w:fill="D4875A" w:val="clear"/>
            <w:tcMar>
              <w:top w:type="dxa" w:w="80"/>
              <w:left w:type="dxa" w:w="120"/>
              <w:bottom w:type="dxa" w:w="80"/>
              <w:right w:type="dxa" w:w="120"/>
            </w:tcMar>
          </w:tcPr>
          <w:p>
            <w:pPr>
              <w:jc w:val="left"/>
            </w:pPr>
            <w:r>
              <w:rPr>
                <w:rFonts w:ascii="Calibri" w:eastAsia="SimHei"/>
                <w:b/>
                <w:bCs/>
                <w:color w:val="FFFFFF"/>
                <w:sz w:val="20"/>
                <w:szCs w:val="20"/>
              </w:rPr>
              <w:t xml:space="preserve">Endpoint</w:t>
            </w:r>
          </w:p>
        </w:tc>
        <w:tc>
          <w:tcPr>
            <w:tcW w:type="pct" w:w="15%"/>
            <w:shd w:fill="D4875A" w:val="clear"/>
            <w:tcMar>
              <w:top w:type="dxa" w:w="80"/>
              <w:left w:type="dxa" w:w="120"/>
              <w:bottom w:type="dxa" w:w="80"/>
              <w:right w:type="dxa" w:w="120"/>
            </w:tcMar>
          </w:tcPr>
          <w:p>
            <w:pPr>
              <w:jc w:val="left"/>
            </w:pPr>
            <w:r>
              <w:rPr>
                <w:rFonts w:ascii="Calibri" w:eastAsia="SimHei"/>
                <w:b/>
                <w:bCs/>
                <w:color w:val="FFFFFF"/>
                <w:sz w:val="20"/>
                <w:szCs w:val="20"/>
              </w:rPr>
              <w:t xml:space="preserve">Method</w:t>
            </w:r>
          </w:p>
        </w:tc>
        <w:tc>
          <w:tcPr>
            <w:tcW w:type="pct" w:w="45%"/>
            <w:shd w:fill="D4875A" w:val="clear"/>
            <w:tcMar>
              <w:top w:type="dxa" w:w="80"/>
              <w:left w:type="dxa" w:w="120"/>
              <w:bottom w:type="dxa" w:w="80"/>
              <w:right w:type="dxa" w:w="120"/>
            </w:tcMar>
          </w:tcPr>
          <w:p>
            <w:pPr>
              <w:jc w:val="left"/>
            </w:pPr>
            <w:r>
              <w:rPr>
                <w:rFonts w:ascii="Calibri" w:eastAsia="SimHei"/>
                <w:b/>
                <w:bCs/>
                <w:color w:val="FFFFFF"/>
                <w:sz w:val="20"/>
                <w:szCs w:val="20"/>
              </w:rPr>
              <w:t xml:space="preserve">Purpose</w:t>
            </w:r>
          </w:p>
        </w:tc>
      </w:tr>
      <w:tr>
        <w:trPr>
          <w:cantSplit/>
        </w:trPr>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/api/calendar/slots</w:t>
            </w:r>
          </w:p>
        </w:tc>
        <w:tc>
          <w:tcPr>
            <w:tcW w:type="pct" w:w="1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GET</w:t>
            </w:r>
          </w:p>
        </w:tc>
        <w:tc>
          <w:tcPr>
            <w:tcW w:type="pct" w:w="4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Fetch available slots for a date range (used by Section 07 widget).</w:t>
            </w:r>
          </w:p>
        </w:tc>
      </w:tr>
      <w:tr>
        <w:trPr>
          <w:cantSplit/>
        </w:trPr>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/api/calendar/hold</w:t>
            </w:r>
          </w:p>
        </w:tc>
        <w:tc>
          <w:tcPr>
            <w:tcW w:type="pct" w:w="1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POST</w:t>
            </w:r>
          </w:p>
        </w:tc>
        <w:tc>
          <w:tcPr>
            <w:tcW w:type="pct" w:w="4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Hold a slot for 60 seconds during step 3 of booking.</w:t>
            </w:r>
          </w:p>
        </w:tc>
      </w:tr>
      <w:tr>
        <w:trPr>
          <w:cantSplit/>
        </w:trPr>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/api/calendar/book</w:t>
            </w:r>
          </w:p>
        </w:tc>
        <w:tc>
          <w:tcPr>
            <w:tcW w:type="pct" w:w="1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POST</w:t>
            </w:r>
          </w:p>
        </w:tc>
        <w:tc>
          <w:tcPr>
            <w:tcW w:type="pct" w:w="4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Confirm a booking; transitions slot from HELD to BOOKED.</w:t>
            </w:r>
          </w:p>
        </w:tc>
      </w:tr>
      <w:tr>
        <w:trPr>
          <w:cantSplit/>
        </w:trPr>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/api/calendar/cancel</w:t>
            </w:r>
          </w:p>
        </w:tc>
        <w:tc>
          <w:tcPr>
            <w:tcW w:type="pct" w:w="1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POST</w:t>
            </w:r>
          </w:p>
        </w:tc>
        <w:tc>
          <w:tcPr>
            <w:tcW w:type="pct" w:w="4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Cancel a booking (visitor or owner initiated).</w:t>
            </w:r>
          </w:p>
        </w:tc>
      </w:tr>
      <w:tr>
        <w:trPr>
          <w:cantSplit/>
        </w:trPr>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/api/calendar/owner/{id}/slots</w:t>
            </w:r>
          </w:p>
        </w:tc>
        <w:tc>
          <w:tcPr>
            <w:tcW w:type="pct" w:w="1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GET</w:t>
            </w:r>
          </w:p>
        </w:tc>
        <w:tc>
          <w:tcPr>
            <w:tcW w:type="pct" w:w="4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Fetch slots for a specific sales owner (admin view).</w:t>
            </w:r>
          </w:p>
        </w:tc>
      </w:tr>
      <w:tr>
        <w:trPr>
          <w:cantSplit/>
        </w:trPr>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/api/calendar/lead/{id}</w:t>
            </w:r>
          </w:p>
        </w:tc>
        <w:tc>
          <w:tcPr>
            <w:tcW w:type="pct" w:w="1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GET</w:t>
            </w:r>
          </w:p>
        </w:tc>
        <w:tc>
          <w:tcPr>
            <w:tcW w:type="pct" w:w="4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Fetch all bookings for a specific lead.</w:t>
            </w:r>
          </w:p>
        </w:tc>
      </w:tr>
    </w:tbl>
    <w:p>
      <w:pPr>
        <w:pStyle w:val="Heading2"/>
        <w:spacing w:after="120" w:before="280" w:line="312"/>
      </w:pPr>
      <w:bookmarkStart w:id="100081" w:name="_Toc100081"/>
      <w:r>
        <w:rPr>
          <w:rFonts w:ascii="Calibri" w:eastAsia="SimHei"/>
          <w:b/>
          <w:bCs/>
          <w:color w:val="0B1220"/>
          <w:sz w:val="28"/>
          <w:szCs w:val="28"/>
        </w:rPr>
        <w:t xml:space="preserve">6.6 Internal Calendar UI</w:t>
      </w:r>
      <w:bookmarkEnd w:id="100081"/>
    </w:p>
    <w:p>
      <w:pPr>
        <w:spacing w:after="100" w:line="312"/>
        <w:ind w:firstLine="0"/>
        <w:jc w:val="both"/>
      </w:pPr>
      <w:r>
        <w:rPr>
          <w:rFonts w:ascii="Calibri" w:eastAsia="Microsoft YaHei"/>
          <w:color w:val="1A2330"/>
          <w:sz w:val="22"/>
          <w:szCs w:val="22"/>
        </w:rPr>
        <w:t xml:space="preserve">The internal calendar management UI is a separate authenticated application (not on the public landing page). It is used by the sales team to manage slots, view bookings, and update meeting outcomes. Minimum viable features for v1: day/week views, owner filter, booking detail view with link to lead record, meeting outcome entry form, slot management (mark unavailable, adjust capacity). v2 additions: automated follow-up scheduling, no-show tracking, conversion analytics.</w:t>
      </w:r>
    </w:p>
    <w:p>
      <w:pPr>
        <w:pStyle w:val="Heading1"/>
        <w:spacing w:after="160" w:before="360" w:line="312"/>
      </w:pPr>
      <w:bookmarkStart w:id="100082" w:name="_Toc100082"/>
      <w:r>
        <w:rPr>
          <w:rFonts w:ascii="Calibri" w:eastAsia="SimHei"/>
          <w:b/>
          <w:bCs/>
          <w:color w:val="0B1220"/>
          <w:sz w:val="32"/>
          <w:szCs w:val="32"/>
        </w:rPr>
        <w:t xml:space="preserve">7. Post-Event Follow-Up Workflow</w:t>
      </w:r>
      <w:bookmarkEnd w:id="100082"/>
    </w:p>
    <w:p>
      <w:pPr>
        <w:pStyle w:val="Heading2"/>
        <w:spacing w:after="120" w:before="280" w:line="312"/>
      </w:pPr>
      <w:bookmarkStart w:id="100083" w:name="_Toc100083"/>
      <w:r>
        <w:rPr>
          <w:rFonts w:ascii="Calibri" w:eastAsia="SimHei"/>
          <w:b/>
          <w:bCs/>
          <w:color w:val="0B1220"/>
          <w:sz w:val="28"/>
          <w:szCs w:val="28"/>
        </w:rPr>
        <w:t xml:space="preserve">7.1 Follow-Up Sequence</w:t>
      </w:r>
      <w:bookmarkEnd w:id="100083"/>
    </w:p>
    <w:p>
      <w:pPr>
        <w:spacing w:after="100" w:line="312"/>
        <w:ind w:firstLine="0"/>
        <w:jc w:val="both"/>
      </w:pPr>
      <w:r>
        <w:rPr>
          <w:rFonts w:ascii="Calibri" w:eastAsia="Microsoft YaHei"/>
          <w:color w:val="1A2330"/>
          <w:sz w:val="22"/>
          <w:szCs w:val="22"/>
        </w:rPr>
        <w:t xml:space="preserve">After IDEX, every lead captured during the event enters an automated follow-up sequence. The sequence is owned by sales operations but executed via the CRM's automation engine. The objective is to convert event-time interest into the 3-Month Package within 60 days post-event.</w:t>
      </w:r>
    </w:p>
    <w:tbl>
      <w:tblPr>
        <w:tblW w:type="pct" w:w="100%"/>
        <w:tblBorders>
          <w:top w:val="single" w:color="D4875A" w:sz="2"/>
          <w:left w:val="none"/>
          <w:bottom w:val="single" w:color="D4875A" w:sz="2"/>
          <w:right w:val="none"/>
          <w:insideH w:val="single" w:color="DDD0C8" w:sz="1"/>
          <w:insideV w:val="none"/>
        </w:tblBorders>
        <w:tblLayout w:type="fixed"/>
      </w:tblPr>
      <w:tblGrid>
        <w:gridCol w:w="100"/>
        <w:gridCol w:w="100"/>
        <w:gridCol w:w="100"/>
        <w:gridCol w:w="100"/>
      </w:tblGrid>
      <w:tr>
        <w:trPr>
          <w:cantSplit/>
          <w:tblHeader/>
        </w:trPr>
        <w:tc>
          <w:tcPr>
            <w:tcW w:type="pct" w:w="10%"/>
            <w:shd w:fill="D4875A" w:val="clear"/>
            <w:tcMar>
              <w:top w:type="dxa" w:w="80"/>
              <w:left w:type="dxa" w:w="120"/>
              <w:bottom w:type="dxa" w:w="80"/>
              <w:right w:type="dxa" w:w="120"/>
            </w:tcMar>
          </w:tcPr>
          <w:p>
            <w:pPr>
              <w:jc w:val="left"/>
            </w:pPr>
            <w:r>
              <w:rPr>
                <w:rFonts w:ascii="Calibri" w:eastAsia="SimHei"/>
                <w:b/>
                <w:bCs/>
                <w:color w:val="FFFFFF"/>
                <w:sz w:val="20"/>
                <w:szCs w:val="20"/>
              </w:rPr>
              <w:t xml:space="preserve">Day</w:t>
            </w:r>
          </w:p>
        </w:tc>
        <w:tc>
          <w:tcPr>
            <w:tcW w:type="pct" w:w="35%"/>
            <w:shd w:fill="D4875A" w:val="clear"/>
            <w:tcMar>
              <w:top w:type="dxa" w:w="80"/>
              <w:left w:type="dxa" w:w="120"/>
              <w:bottom w:type="dxa" w:w="80"/>
              <w:right w:type="dxa" w:w="120"/>
            </w:tcMar>
          </w:tcPr>
          <w:p>
            <w:pPr>
              <w:jc w:val="left"/>
            </w:pPr>
            <w:r>
              <w:rPr>
                <w:rFonts w:ascii="Calibri" w:eastAsia="SimHei"/>
                <w:b/>
                <w:bCs/>
                <w:color w:val="FFFFFF"/>
                <w:sz w:val="20"/>
                <w:szCs w:val="20"/>
              </w:rPr>
              <w:t xml:space="preserve">Action</w:t>
            </w:r>
          </w:p>
        </w:tc>
        <w:tc>
          <w:tcPr>
            <w:tcW w:type="pct" w:w="15%"/>
            <w:shd w:fill="D4875A" w:val="clear"/>
            <w:tcMar>
              <w:top w:type="dxa" w:w="80"/>
              <w:left w:type="dxa" w:w="120"/>
              <w:bottom w:type="dxa" w:w="80"/>
              <w:right w:type="dxa" w:w="120"/>
            </w:tcMar>
          </w:tcPr>
          <w:p>
            <w:pPr>
              <w:jc w:val="left"/>
            </w:pPr>
            <w:r>
              <w:rPr>
                <w:rFonts w:ascii="Calibri" w:eastAsia="SimHei"/>
                <w:b/>
                <w:bCs/>
                <w:color w:val="FFFFFF"/>
                <w:sz w:val="20"/>
                <w:szCs w:val="20"/>
              </w:rPr>
              <w:t xml:space="preserve">Channel</w:t>
            </w:r>
          </w:p>
        </w:tc>
        <w:tc>
          <w:tcPr>
            <w:tcW w:type="pct" w:w="40%"/>
            <w:shd w:fill="D4875A" w:val="clear"/>
            <w:tcMar>
              <w:top w:type="dxa" w:w="80"/>
              <w:left w:type="dxa" w:w="120"/>
              <w:bottom w:type="dxa" w:w="80"/>
              <w:right w:type="dxa" w:w="120"/>
            </w:tcMar>
          </w:tcPr>
          <w:p>
            <w:pPr>
              <w:jc w:val="left"/>
            </w:pPr>
            <w:r>
              <w:rPr>
                <w:rFonts w:ascii="Calibri" w:eastAsia="SimHei"/>
                <w:b/>
                <w:bCs/>
                <w:color w:val="FFFFFF"/>
                <w:sz w:val="20"/>
                <w:szCs w:val="20"/>
              </w:rPr>
              <w:t xml:space="preserve">Trigger</w:t>
            </w:r>
          </w:p>
        </w:tc>
      </w:tr>
      <w:tr>
        <w:trPr>
          <w:cantSplit/>
        </w:trPr>
        <w:tc>
          <w:tcPr>
            <w:tcW w:type="pct" w:w="1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Day 0</w:t>
            </w:r>
          </w:p>
        </w:tc>
        <w:tc>
          <w:tcPr>
            <w:tcW w:type="pct" w:w="3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Thank-you email + meeting recap</w:t>
            </w:r>
          </w:p>
        </w:tc>
        <w:tc>
          <w:tcPr>
            <w:tcW w:type="pct" w:w="1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Email</w:t>
            </w:r>
          </w:p>
        </w:tc>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Meeting completed (status=COMPLETED)</w:t>
            </w:r>
          </w:p>
        </w:tc>
      </w:tr>
      <w:tr>
        <w:trPr>
          <w:cantSplit/>
        </w:trPr>
        <w:tc>
          <w:tcPr>
            <w:tcW w:type="pct" w:w="1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Day 1</w:t>
            </w:r>
          </w:p>
        </w:tc>
        <w:tc>
          <w:tcPr>
            <w:tcW w:type="pct" w:w="3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Send personalized audit report (if requested)</w:t>
            </w:r>
          </w:p>
        </w:tc>
        <w:tc>
          <w:tcPr>
            <w:tcW w:type="pct" w:w="1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Email</w:t>
            </w:r>
          </w:p>
        </w:tc>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Audit form submitted pre-event</w:t>
            </w:r>
          </w:p>
        </w:tc>
      </w:tr>
      <w:tr>
        <w:trPr>
          <w:cantSplit/>
        </w:trPr>
        <w:tc>
          <w:tcPr>
            <w:tcW w:type="pct" w:w="1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Day 3</w:t>
            </w:r>
          </w:p>
        </w:tc>
        <w:tc>
          <w:tcPr>
            <w:tcW w:type="pct" w:w="3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Sales owner follow-up call</w:t>
            </w:r>
          </w:p>
        </w:tc>
        <w:tc>
          <w:tcPr>
            <w:tcW w:type="pct" w:w="1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Phone</w:t>
            </w:r>
          </w:p>
        </w:tc>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All leads with status=QUALIFIED</w:t>
            </w:r>
          </w:p>
        </w:tc>
      </w:tr>
      <w:tr>
        <w:trPr>
          <w:cantSplit/>
        </w:trPr>
        <w:tc>
          <w:tcPr>
            <w:tcW w:type="pct" w:w="1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Day 7</w:t>
            </w:r>
          </w:p>
        </w:tc>
        <w:tc>
          <w:tcPr>
            <w:tcW w:type="pct" w:w="3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Send proposal (if qualified)</w:t>
            </w:r>
          </w:p>
        </w:tc>
        <w:tc>
          <w:tcPr>
            <w:tcW w:type="pct" w:w="1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Email</w:t>
            </w:r>
          </w:p>
        </w:tc>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Lead qualified during call</w:t>
            </w:r>
          </w:p>
        </w:tc>
      </w:tr>
      <w:tr>
        <w:trPr>
          <w:cantSplit/>
        </w:trPr>
        <w:tc>
          <w:tcPr>
            <w:tcW w:type="pct" w:w="1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Day 14</w:t>
            </w:r>
          </w:p>
        </w:tc>
        <w:tc>
          <w:tcPr>
            <w:tcW w:type="pct" w:w="3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Nurture email — case study relevant to industry</w:t>
            </w:r>
          </w:p>
        </w:tc>
        <w:tc>
          <w:tcPr>
            <w:tcW w:type="pct" w:w="1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Email</w:t>
            </w:r>
          </w:p>
        </w:tc>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Lead not yet qualified</w:t>
            </w:r>
          </w:p>
        </w:tc>
      </w:tr>
      <w:tr>
        <w:trPr>
          <w:cantSplit/>
        </w:trPr>
        <w:tc>
          <w:tcPr>
            <w:tcW w:type="pct" w:w="1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Day 30</w:t>
            </w:r>
          </w:p>
        </w:tc>
        <w:tc>
          <w:tcPr>
            <w:tcW w:type="pct" w:w="3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Re-engagement email — August offer reminder</w:t>
            </w:r>
          </w:p>
        </w:tc>
        <w:tc>
          <w:tcPr>
            <w:tcW w:type="pct" w:w="1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Email</w:t>
            </w:r>
          </w:p>
        </w:tc>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Lead status still SCHEDULED or below</w:t>
            </w:r>
          </w:p>
        </w:tc>
      </w:tr>
      <w:tr>
        <w:trPr>
          <w:cantSplit/>
        </w:trPr>
        <w:tc>
          <w:tcPr>
            <w:tcW w:type="pct" w:w="1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Day 45</w:t>
            </w:r>
          </w:p>
        </w:tc>
        <w:tc>
          <w:tcPr>
            <w:tcW w:type="pct" w:w="3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Final outreach — package close attempt</w:t>
            </w:r>
          </w:p>
        </w:tc>
        <w:tc>
          <w:tcPr>
            <w:tcW w:type="pct" w:w="1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Email + Phone</w:t>
            </w:r>
          </w:p>
        </w:tc>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Lead still in pipeline</w:t>
            </w:r>
          </w:p>
        </w:tc>
      </w:tr>
      <w:tr>
        <w:trPr>
          <w:cantSplit/>
        </w:trPr>
        <w:tc>
          <w:tcPr>
            <w:tcW w:type="pct" w:w="1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Day 60</w:t>
            </w:r>
          </w:p>
        </w:tc>
        <w:tc>
          <w:tcPr>
            <w:tcW w:type="pct" w:w="3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Mark as LOST if no response; add to long-term nurture</w:t>
            </w:r>
          </w:p>
        </w:tc>
        <w:tc>
          <w:tcPr>
            <w:tcW w:type="pct" w:w="15%"/>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CRM</w:t>
            </w:r>
          </w:p>
        </w:tc>
        <w:tc>
          <w:tcPr>
            <w:tcW w:type="pct" w:w="40%"/>
            <w:tcMar>
              <w:top w:type="dxa" w:w="80"/>
              <w:left w:type="dxa" w:w="120"/>
              <w:bottom w:type="dxa" w:w="80"/>
              <w:right w:type="dxa" w:w="120"/>
            </w:tcMar>
          </w:tcPr>
          <w:p>
            <w:pPr>
              <w:spacing w:line="276"/>
              <w:jc w:val="left"/>
            </w:pPr>
            <w:r>
              <w:rPr>
                <w:rFonts w:ascii="Calibri" w:eastAsia="Microsoft YaHei"/>
                <w:b w:val="false"/>
                <w:bCs w:val="false"/>
                <w:color w:val="1A2330"/>
                <w:sz w:val="20"/>
                <w:szCs w:val="20"/>
              </w:rPr>
              <w:t xml:space="preserve">Lead status still SCHEDULED or below</w:t>
            </w:r>
          </w:p>
        </w:tc>
      </w:tr>
    </w:tbl>
    <w:p>
      <w:pPr>
        <w:pStyle w:val="Heading2"/>
        <w:spacing w:after="120" w:before="280" w:line="312"/>
      </w:pPr>
      <w:bookmarkStart w:id="100084" w:name="_Toc100084"/>
      <w:r>
        <w:rPr>
          <w:rFonts w:ascii="Calibri" w:eastAsia="SimHei"/>
          <w:b/>
          <w:bCs/>
          <w:color w:val="0B1220"/>
          <w:sz w:val="28"/>
          <w:szCs w:val="28"/>
        </w:rPr>
        <w:t xml:space="preserve">7.2 Proposal &amp; Closing</w:t>
      </w:r>
      <w:bookmarkEnd w:id="100084"/>
    </w:p>
    <w:p>
      <w:pPr>
        <w:spacing w:after="100" w:line="312"/>
        <w:ind w:firstLine="0"/>
        <w:jc w:val="both"/>
      </w:pPr>
      <w:r>
        <w:rPr>
          <w:rFonts w:ascii="Calibri" w:eastAsia="Microsoft YaHei"/>
          <w:color w:val="1A2330"/>
          <w:sz w:val="22"/>
          <w:szCs w:val="22"/>
        </w:rPr>
        <w:t xml:space="preserve">Proposals are generated from a template tied to the IDEX Growth Package. Pricing fields auto-populate from the approved price list (placeholder until approved). The proposal document includes scope, timeline, deliverables, investment, and a one-page terms summary. Proposals are sent via the CRM's email system so opens and views are tracked; the sales owner is notified when a proposal is opened, when it is forwarded, and after 48 hours of no opens.</w:t>
      </w:r>
    </w:p>
    <w:p>
      <w:pPr>
        <w:pStyle w:val="Heading2"/>
        <w:spacing w:after="120" w:before="280" w:line="312"/>
      </w:pPr>
      <w:bookmarkStart w:id="100085" w:name="_Toc100085"/>
      <w:r>
        <w:rPr>
          <w:rFonts w:ascii="Calibri" w:eastAsia="SimHei"/>
          <w:b/>
          <w:bCs/>
          <w:color w:val="0B1220"/>
          <w:sz w:val="28"/>
          <w:szCs w:val="28"/>
        </w:rPr>
        <w:t xml:space="preserve">7.3 Long-Term Nurture</w:t>
      </w:r>
      <w:bookmarkEnd w:id="100085"/>
    </w:p>
    <w:p>
      <w:pPr>
        <w:spacing w:after="100" w:line="312"/>
        <w:ind w:firstLine="0"/>
        <w:jc w:val="both"/>
      </w:pPr>
      <w:r>
        <w:rPr>
          <w:rFonts w:ascii="Calibri" w:eastAsia="Microsoft YaHei"/>
          <w:color w:val="1A2330"/>
          <w:sz w:val="22"/>
          <w:szCs w:val="22"/>
        </w:rPr>
        <w:t xml:space="preserve">Leads that do not close within 60 days are moved to a long-term nurture sequence — quarterly newsletter plus occasional industry-specific content. These leads remain in the CRM with status=LOST and a nurture=true flag. Sales owners can manually reactivate a lead if context changes (e.g. the prospect reaches out again).</w:t>
      </w:r>
    </w:p>
    <w:p>
      <w:pPr>
        <w:pStyle w:val="Heading1"/>
        <w:spacing w:after="160" w:before="360" w:line="312"/>
      </w:pPr>
      <w:bookmarkStart w:id="100086" w:name="_Toc100086"/>
      <w:r>
        <w:rPr>
          <w:rFonts w:ascii="Calibri" w:eastAsia="SimHei"/>
          <w:b/>
          <w:bCs/>
          <w:color w:val="0B1220"/>
          <w:sz w:val="32"/>
          <w:szCs w:val="32"/>
        </w:rPr>
        <w:t xml:space="preserve">8. Master Acceptance Criteria</w:t>
      </w:r>
      <w:bookmarkEnd w:id="100086"/>
    </w:p>
    <w:p>
      <w:pPr>
        <w:spacing w:after="100" w:line="312"/>
        <w:ind w:firstLine="0"/>
        <w:jc w:val="both"/>
      </w:pPr>
      <w:r>
        <w:rPr>
          <w:rFonts w:ascii="Calibri" w:eastAsia="Microsoft YaHei"/>
          <w:color w:val="1A2330"/>
          <w:sz w:val="22"/>
          <w:szCs w:val="22"/>
        </w:rPr>
        <w:t xml:space="preserve">The following acceptance criteria apply to the landing page build as a whole. Section-specific criteria are listed within each section spec above; the criteria below are global and must all pass before the page is considered production-ready.</w:t>
      </w:r>
    </w:p>
    <w:p>
      <w:pPr>
        <w:pStyle w:val="Heading2"/>
        <w:spacing w:after="120" w:before="280" w:line="312"/>
      </w:pPr>
      <w:bookmarkStart w:id="100087" w:name="_Toc100087"/>
      <w:r>
        <w:rPr>
          <w:rFonts w:ascii="Calibri" w:eastAsia="SimHei"/>
          <w:b/>
          <w:bCs/>
          <w:color w:val="0B1220"/>
          <w:sz w:val="28"/>
          <w:szCs w:val="28"/>
        </w:rPr>
        <w:t xml:space="preserve">8.1 Performance</w:t>
      </w:r>
      <w:bookmarkEnd w:id="100087"/>
    </w:p>
    <w:p>
      <w:pPr>
        <w:pStyle w:val="ListParagraph"/>
        <w:numPr>
          <w:ilvl w:val="0"/>
          <w:numId w:val="1"/>
        </w:numPr>
        <w:spacing w:after="60" w:line="312"/>
      </w:pPr>
      <w:r>
        <w:rPr>
          <w:rFonts w:ascii="Calibri" w:eastAsia="Microsoft YaHei"/>
          <w:color w:val="1A2330"/>
          <w:sz w:val="22"/>
          <w:szCs w:val="22"/>
        </w:rPr>
        <w:t xml:space="preserve">Largest Contentful Paint (LCP) &lt; 2.5s on 4G mobile throttle (Lighthouse audit).</w:t>
      </w:r>
    </w:p>
    <w:p>
      <w:pPr>
        <w:pStyle w:val="ListParagraph"/>
        <w:numPr>
          <w:ilvl w:val="0"/>
          <w:numId w:val="1"/>
        </w:numPr>
        <w:spacing w:after="60" w:line="312"/>
      </w:pPr>
      <w:r>
        <w:rPr>
          <w:rFonts w:ascii="Calibri" w:eastAsia="Microsoft YaHei"/>
          <w:color w:val="1A2330"/>
          <w:sz w:val="22"/>
          <w:szCs w:val="22"/>
        </w:rPr>
        <w:t xml:space="preserve">Cumulative Layout Shift (CLS) &lt; 0.05.</w:t>
      </w:r>
    </w:p>
    <w:p>
      <w:pPr>
        <w:pStyle w:val="ListParagraph"/>
        <w:numPr>
          <w:ilvl w:val="0"/>
          <w:numId w:val="1"/>
        </w:numPr>
        <w:spacing w:after="60" w:line="312"/>
      </w:pPr>
      <w:r>
        <w:rPr>
          <w:rFonts w:ascii="Calibri" w:eastAsia="Microsoft YaHei"/>
          <w:color w:val="1A2330"/>
          <w:sz w:val="22"/>
          <w:szCs w:val="22"/>
        </w:rPr>
        <w:t xml:space="preserve">Total page weight &lt; 1.2 MB on initial load (lazy-load below-the-fold images).</w:t>
      </w:r>
    </w:p>
    <w:p>
      <w:pPr>
        <w:pStyle w:val="ListParagraph"/>
        <w:numPr>
          <w:ilvl w:val="0"/>
          <w:numId w:val="1"/>
        </w:numPr>
        <w:spacing w:after="60" w:line="312"/>
      </w:pPr>
      <w:r>
        <w:rPr>
          <w:rFonts w:ascii="Calibri" w:eastAsia="Microsoft YaHei"/>
          <w:color w:val="1A2330"/>
          <w:sz w:val="22"/>
          <w:szCs w:val="22"/>
        </w:rPr>
        <w:t xml:space="preserve">First Input Delay (FID) / Interaction to Next Paint (INP) within Google's "Good" range.</w:t>
      </w:r>
    </w:p>
    <w:p>
      <w:pPr>
        <w:pStyle w:val="Heading2"/>
        <w:spacing w:after="120" w:before="280" w:line="312"/>
      </w:pPr>
      <w:bookmarkStart w:id="100088" w:name="_Toc100088"/>
      <w:r>
        <w:rPr>
          <w:rFonts w:ascii="Calibri" w:eastAsia="SimHei"/>
          <w:b/>
          <w:bCs/>
          <w:color w:val="0B1220"/>
          <w:sz w:val="28"/>
          <w:szCs w:val="28"/>
        </w:rPr>
        <w:t xml:space="preserve">8.2 Accessibility</w:t>
      </w:r>
      <w:bookmarkEnd w:id="100088"/>
    </w:p>
    <w:p>
      <w:pPr>
        <w:pStyle w:val="ListParagraph"/>
        <w:numPr>
          <w:ilvl w:val="0"/>
          <w:numId w:val="1"/>
        </w:numPr>
        <w:spacing w:after="60" w:line="312"/>
      </w:pPr>
      <w:r>
        <w:rPr>
          <w:rFonts w:ascii="Calibri" w:eastAsia="Microsoft YaHei"/>
          <w:color w:val="1A2330"/>
          <w:sz w:val="22"/>
          <w:szCs w:val="22"/>
        </w:rPr>
        <w:t xml:space="preserve">WCAG 2.1 AA conformance verified via axe-core automated audit + manual keyboard-only navigation test.</w:t>
      </w:r>
    </w:p>
    <w:p>
      <w:pPr>
        <w:pStyle w:val="ListParagraph"/>
        <w:numPr>
          <w:ilvl w:val="0"/>
          <w:numId w:val="1"/>
        </w:numPr>
        <w:spacing w:after="60" w:line="312"/>
      </w:pPr>
      <w:r>
        <w:rPr>
          <w:rFonts w:ascii="Calibri" w:eastAsia="Microsoft YaHei"/>
          <w:color w:val="1A2330"/>
          <w:sz w:val="22"/>
          <w:szCs w:val="22"/>
        </w:rPr>
        <w:t xml:space="preserve">All form fields have associated &lt;label&gt; elements; error messages are aria-live.</w:t>
      </w:r>
    </w:p>
    <w:p>
      <w:pPr>
        <w:pStyle w:val="ListParagraph"/>
        <w:numPr>
          <w:ilvl w:val="0"/>
          <w:numId w:val="1"/>
        </w:numPr>
        <w:spacing w:after="60" w:line="312"/>
      </w:pPr>
      <w:r>
        <w:rPr>
          <w:rFonts w:ascii="Calibri" w:eastAsia="Microsoft YaHei"/>
          <w:color w:val="1A2330"/>
          <w:sz w:val="22"/>
          <w:szCs w:val="22"/>
        </w:rPr>
        <w:t xml:space="preserve">Color contrast ratios meet AA minimums across all text/background combinations.</w:t>
      </w:r>
    </w:p>
    <w:p>
      <w:pPr>
        <w:pStyle w:val="ListParagraph"/>
        <w:numPr>
          <w:ilvl w:val="0"/>
          <w:numId w:val="1"/>
        </w:numPr>
        <w:spacing w:after="60" w:line="312"/>
      </w:pPr>
      <w:r>
        <w:rPr>
          <w:rFonts w:ascii="Calibri" w:eastAsia="Microsoft YaHei"/>
          <w:color w:val="1A2330"/>
          <w:sz w:val="22"/>
          <w:szCs w:val="22"/>
        </w:rPr>
        <w:t xml:space="preserve">Focus indicators visible on all interactive elements; logical tab order throughout.</w:t>
      </w:r>
    </w:p>
    <w:p>
      <w:pPr>
        <w:pStyle w:val="Heading2"/>
        <w:spacing w:after="120" w:before="280" w:line="312"/>
      </w:pPr>
      <w:bookmarkStart w:id="100089" w:name="_Toc100089"/>
      <w:r>
        <w:rPr>
          <w:rFonts w:ascii="Calibri" w:eastAsia="SimHei"/>
          <w:b/>
          <w:bCs/>
          <w:color w:val="0B1220"/>
          <w:sz w:val="28"/>
          <w:szCs w:val="28"/>
        </w:rPr>
        <w:t xml:space="preserve">8.3 Cross-Browser &amp; Cross-Device</w:t>
      </w:r>
      <w:bookmarkEnd w:id="100089"/>
    </w:p>
    <w:p>
      <w:pPr>
        <w:pStyle w:val="ListParagraph"/>
        <w:numPr>
          <w:ilvl w:val="0"/>
          <w:numId w:val="1"/>
        </w:numPr>
        <w:spacing w:after="60" w:line="312"/>
      </w:pPr>
      <w:r>
        <w:rPr>
          <w:rFonts w:ascii="Calibri" w:eastAsia="Microsoft YaHei"/>
          <w:color w:val="1A2330"/>
          <w:sz w:val="22"/>
          <w:szCs w:val="22"/>
        </w:rPr>
        <w:t xml:space="preserve">Renders correctly on Chrome, Safari, Firefox, Edge (latest 2 versions).</w:t>
      </w:r>
    </w:p>
    <w:p>
      <w:pPr>
        <w:pStyle w:val="ListParagraph"/>
        <w:numPr>
          <w:ilvl w:val="0"/>
          <w:numId w:val="1"/>
        </w:numPr>
        <w:spacing w:after="60" w:line="312"/>
      </w:pPr>
      <w:r>
        <w:rPr>
          <w:rFonts w:ascii="Calibri" w:eastAsia="Microsoft YaHei"/>
          <w:color w:val="1A2330"/>
          <w:sz w:val="22"/>
          <w:szCs w:val="22"/>
        </w:rPr>
        <w:t xml:space="preserve">Renders correctly on iOS Safari (latest 2 versions) and Android Chrome (latest 2 versions).</w:t>
      </w:r>
    </w:p>
    <w:p>
      <w:pPr>
        <w:pStyle w:val="ListParagraph"/>
        <w:numPr>
          <w:ilvl w:val="0"/>
          <w:numId w:val="1"/>
        </w:numPr>
        <w:spacing w:after="60" w:line="312"/>
      </w:pPr>
      <w:r>
        <w:rPr>
          <w:rFonts w:ascii="Calibri" w:eastAsia="Microsoft YaHei"/>
          <w:color w:val="1A2330"/>
          <w:sz w:val="22"/>
          <w:szCs w:val="22"/>
        </w:rPr>
        <w:t xml:space="preserve">Responsive breakpoints tested at 375px, 414px, 768px, 1024px, 1280px, 1440px.</w:t>
      </w:r>
    </w:p>
    <w:p>
      <w:pPr>
        <w:pStyle w:val="Heading2"/>
        <w:spacing w:after="120" w:before="280" w:line="312"/>
      </w:pPr>
      <w:bookmarkStart w:id="100090" w:name="_Toc100090"/>
      <w:r>
        <w:rPr>
          <w:rFonts w:ascii="Calibri" w:eastAsia="SimHei"/>
          <w:b/>
          <w:bCs/>
          <w:color w:val="0B1220"/>
          <w:sz w:val="28"/>
          <w:szCs w:val="28"/>
        </w:rPr>
        <w:t xml:space="preserve">8.4 Analytics &amp; Tracking</w:t>
      </w:r>
      <w:bookmarkEnd w:id="100090"/>
    </w:p>
    <w:p>
      <w:pPr>
        <w:pStyle w:val="ListParagraph"/>
        <w:numPr>
          <w:ilvl w:val="0"/>
          <w:numId w:val="1"/>
        </w:numPr>
        <w:spacing w:after="60" w:line="312"/>
      </w:pPr>
      <w:r>
        <w:rPr>
          <w:rFonts w:ascii="Calibri" w:eastAsia="Microsoft YaHei"/>
          <w:color w:val="1A2330"/>
          <w:sz w:val="22"/>
          <w:szCs w:val="22"/>
        </w:rPr>
        <w:t xml:space="preserve">All GA4 events listed in §2.3 fire correctly on the appropriate triggers.</w:t>
      </w:r>
    </w:p>
    <w:p>
      <w:pPr>
        <w:pStyle w:val="ListParagraph"/>
        <w:numPr>
          <w:ilvl w:val="0"/>
          <w:numId w:val="1"/>
        </w:numPr>
        <w:spacing w:after="60" w:line="312"/>
      </w:pPr>
      <w:r>
        <w:rPr>
          <w:rFonts w:ascii="Calibri" w:eastAsia="Microsoft YaHei"/>
          <w:color w:val="1A2330"/>
          <w:sz w:val="22"/>
          <w:szCs w:val="22"/>
        </w:rPr>
        <w:t xml:space="preserve">UTM parameters preserved on landing and propagated to lead record.</w:t>
      </w:r>
    </w:p>
    <w:p>
      <w:pPr>
        <w:pStyle w:val="ListParagraph"/>
        <w:numPr>
          <w:ilvl w:val="0"/>
          <w:numId w:val="1"/>
        </w:numPr>
        <w:spacing w:after="60" w:line="312"/>
      </w:pPr>
      <w:r>
        <w:rPr>
          <w:rFonts w:ascii="Calibri" w:eastAsia="Microsoft YaHei"/>
          <w:color w:val="1A2330"/>
          <w:sz w:val="22"/>
          <w:szCs w:val="22"/>
        </w:rPr>
        <w:t xml:space="preserve">Conversion pixels (LinkedIn, Meta, Google Ads) fire on the correct submission events.</w:t>
      </w:r>
    </w:p>
    <w:p>
      <w:pPr>
        <w:pStyle w:val="ListParagraph"/>
        <w:numPr>
          <w:ilvl w:val="0"/>
          <w:numId w:val="1"/>
        </w:numPr>
        <w:spacing w:after="60" w:line="312"/>
      </w:pPr>
      <w:r>
        <w:rPr>
          <w:rFonts w:ascii="Calibri" w:eastAsia="Microsoft YaHei"/>
          <w:color w:val="1A2330"/>
          <w:sz w:val="22"/>
          <w:szCs w:val="22"/>
        </w:rPr>
        <w:t xml:space="preserve">Cookieless analytics baseline (Plausible / Umami) deployed and capturing.</w:t>
      </w:r>
    </w:p>
    <w:p>
      <w:pPr>
        <w:pStyle w:val="Heading2"/>
        <w:spacing w:after="120" w:before="280" w:line="312"/>
      </w:pPr>
      <w:bookmarkStart w:id="100091" w:name="_Toc100091"/>
      <w:r>
        <w:rPr>
          <w:rFonts w:ascii="Calibri" w:eastAsia="SimHei"/>
          <w:b/>
          <w:bCs/>
          <w:color w:val="0B1220"/>
          <w:sz w:val="28"/>
          <w:szCs w:val="28"/>
        </w:rPr>
        <w:t xml:space="preserve">8.5 Integrations</w:t>
      </w:r>
      <w:bookmarkEnd w:id="100091"/>
    </w:p>
    <w:p>
      <w:pPr>
        <w:pStyle w:val="ListParagraph"/>
        <w:numPr>
          <w:ilvl w:val="0"/>
          <w:numId w:val="1"/>
        </w:numPr>
        <w:spacing w:after="60" w:line="312"/>
      </w:pPr>
      <w:r>
        <w:rPr>
          <w:rFonts w:ascii="Calibri" w:eastAsia="Microsoft YaHei"/>
          <w:color w:val="1A2330"/>
          <w:sz w:val="22"/>
          <w:szCs w:val="22"/>
        </w:rPr>
        <w:t xml:space="preserve">CRM lead creation endpoint receives submissions within 5 seconds of form submit.</w:t>
      </w:r>
    </w:p>
    <w:p>
      <w:pPr>
        <w:pStyle w:val="ListParagraph"/>
        <w:numPr>
          <w:ilvl w:val="0"/>
          <w:numId w:val="1"/>
        </w:numPr>
        <w:spacing w:after="60" w:line="312"/>
      </w:pPr>
      <w:r>
        <w:rPr>
          <w:rFonts w:ascii="Calibri" w:eastAsia="Microsoft YaHei"/>
          <w:color w:val="1A2330"/>
          <w:sz w:val="22"/>
          <w:szCs w:val="22"/>
        </w:rPr>
        <w:t xml:space="preserve">Calendar booking creates a CRM lead record with status=SCHEDULED.</w:t>
      </w:r>
    </w:p>
    <w:p>
      <w:pPr>
        <w:pStyle w:val="ListParagraph"/>
        <w:numPr>
          <w:ilvl w:val="0"/>
          <w:numId w:val="1"/>
        </w:numPr>
        <w:spacing w:after="60" w:line="312"/>
      </w:pPr>
      <w:r>
        <w:rPr>
          <w:rFonts w:ascii="Calibri" w:eastAsia="Microsoft YaHei"/>
          <w:color w:val="1A2330"/>
          <w:sz w:val="22"/>
          <w:szCs w:val="22"/>
        </w:rPr>
        <w:t xml:space="preserve">Confirmation emails (audit, meeting, lead form) delivered within 60 seconds.</w:t>
      </w:r>
    </w:p>
    <w:p>
      <w:pPr>
        <w:pStyle w:val="ListParagraph"/>
        <w:numPr>
          <w:ilvl w:val="0"/>
          <w:numId w:val="1"/>
        </w:numPr>
        <w:spacing w:after="60" w:line="312"/>
      </w:pPr>
      <w:r>
        <w:rPr>
          <w:rFonts w:ascii="Calibri" w:eastAsia="Microsoft YaHei"/>
          <w:color w:val="1A2330"/>
          <w:sz w:val="22"/>
          <w:szCs w:val="22"/>
        </w:rPr>
        <w:t xml:space="preserve">Slack/Teams notifications fire within 60 seconds of new lead.</w:t>
      </w:r>
    </w:p>
    <w:p>
      <w:pPr>
        <w:pStyle w:val="Heading2"/>
        <w:spacing w:after="120" w:before="280" w:line="312"/>
      </w:pPr>
      <w:bookmarkStart w:id="100092" w:name="_Toc100092"/>
      <w:r>
        <w:rPr>
          <w:rFonts w:ascii="Calibri" w:eastAsia="SimHei"/>
          <w:b/>
          <w:bCs/>
          <w:color w:val="0B1220"/>
          <w:sz w:val="28"/>
          <w:szCs w:val="28"/>
        </w:rPr>
        <w:t xml:space="preserve">8.6 Content &amp; Placeholders</w:t>
      </w:r>
      <w:bookmarkEnd w:id="100092"/>
    </w:p>
    <w:p>
      <w:pPr>
        <w:pStyle w:val="ListParagraph"/>
        <w:numPr>
          <w:ilvl w:val="0"/>
          <w:numId w:val="1"/>
        </w:numPr>
        <w:spacing w:after="60" w:line="312"/>
      </w:pPr>
      <w:r>
        <w:rPr>
          <w:rFonts w:ascii="Calibri" w:eastAsia="Microsoft YaHei"/>
          <w:color w:val="1A2330"/>
          <w:sz w:val="22"/>
          <w:szCs w:val="22"/>
        </w:rPr>
        <w:t xml:space="preserve">All pricing placeholders (【AED XX,XXX】) replaced with confirmed figures before publication.</w:t>
      </w:r>
    </w:p>
    <w:p>
      <w:pPr>
        <w:pStyle w:val="ListParagraph"/>
        <w:numPr>
          <w:ilvl w:val="0"/>
          <w:numId w:val="1"/>
        </w:numPr>
        <w:spacing w:after="60" w:line="312"/>
      </w:pPr>
      <w:r>
        <w:rPr>
          <w:rFonts w:ascii="Calibri" w:eastAsia="Microsoft YaHei"/>
          <w:color w:val="1A2330"/>
          <w:sz w:val="22"/>
          <w:szCs w:val="22"/>
        </w:rPr>
        <w:t xml:space="preserve">All case-study figures verified with each client (Dentaquick / Acrostone / Waterpik) before publication.</w:t>
      </w:r>
    </w:p>
    <w:p>
      <w:pPr>
        <w:pStyle w:val="ListParagraph"/>
        <w:numPr>
          <w:ilvl w:val="0"/>
          <w:numId w:val="1"/>
        </w:numPr>
        <w:spacing w:after="60" w:line="312"/>
      </w:pPr>
      <w:r>
        <w:rPr>
          <w:rFonts w:ascii="Calibri" w:eastAsia="Microsoft YaHei"/>
          <w:color w:val="1A2330"/>
          <w:sz w:val="22"/>
          <w:szCs w:val="22"/>
        </w:rPr>
        <w:t xml:space="preserve">All client logos and case-study imagery licensed for use and uploaded to the CMS.</w:t>
      </w:r>
    </w:p>
    <w:p>
      <w:pPr>
        <w:pStyle w:val="ListParagraph"/>
        <w:numPr>
          <w:ilvl w:val="0"/>
          <w:numId w:val="1"/>
        </w:numPr>
        <w:spacing w:after="60" w:line="312"/>
      </w:pPr>
      <w:r>
        <w:rPr>
          <w:rFonts w:ascii="Calibri" w:eastAsia="Microsoft YaHei"/>
          <w:color w:val="1A2330"/>
          <w:sz w:val="22"/>
          <w:szCs w:val="22"/>
        </w:rPr>
        <w:t xml:space="preserve">Draft disclaimer removed from Section 05 once case studies are verified.</w:t>
      </w:r>
    </w:p>
    <w:sectPr>
      <w:headerReference w:type="default" r:id="rId9"/>
      <w:footerReference w:type="default" r:id="rId10"/>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color w:val="808080"/>
        <w:sz w:val="18"/>
        <w:szCs w:val="18"/>
      </w:rPr>
      <w:t xml:space="preserve">ICEBERG × IDEX — Landing Page Spec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color w:val="808080"/>
        <w:sz w:val="18"/>
        <w:szCs w:val="18"/>
      </w:rPr>
      <w:t xml:space="preserve">ICEBERG × IDEX — Landing Page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33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SimHei"/>
      <w:b/>
      <w:bCs/>
      <w:color w:val="0B1220"/>
      <w:sz w:val="32"/>
      <w:szCs w:val="32"/>
    </w:rPr>
  </w:style>
  <w:style w:type="paragraph" w:styleId="Heading2">
    <w:name w:val="Heading 2"/>
    <w:basedOn w:val="Normal"/>
    <w:next w:val="Normal"/>
    <w:qFormat/>
    <w:pPr>
      <w:spacing w:after="120" w:before="280" w:line="312"/>
      <w:outlineLvl w:val="1"/>
    </w:pPr>
    <w:rPr>
      <w:rFonts w:ascii="Calibri" w:eastAsia="SimHei"/>
      <w:b/>
      <w:bCs/>
      <w:color w:val="0B1220"/>
      <w:sz w:val="28"/>
      <w:szCs w:val="28"/>
    </w:rPr>
  </w:style>
  <w:style w:type="paragraph" w:styleId="Heading3">
    <w:name w:val="Heading 3"/>
    <w:basedOn w:val="Normal"/>
    <w:next w:val="Normal"/>
    <w:qFormat/>
    <w:pPr>
      <w:spacing w:after="100" w:before="220" w:line="312"/>
      <w:outlineLvl w:val="2"/>
    </w:pPr>
    <w:rPr>
      <w:rFonts w:ascii="Calibri" w:eastAsia="SimHei"/>
      <w:b/>
      <w:bCs/>
      <w:color w:val="0B122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ICEBERG × IDEX Landing Page Specification</dc:title>
  <dc:creator>ICEBERG</dc:creator>
  <dc:description>Developer build spec for the IDEX landing page and conversion ecosystem.</dc:description>
  <cp:lastModifiedBy>Un-named</cp:lastModifiedBy>
  <cp:revision>1</cp:revision>
  <dcterms:created xsi:type="dcterms:W3CDTF">2026-08-11T08:57:06.365Z</dcterms:created>
  <dcterms:modified xsi:type="dcterms:W3CDTF">2026-08-11T08:57:06.366Z</dcterms:modified>
</cp:coreProperties>
</file>

<file path=docProps/custom.xml><?xml version="1.0" encoding="utf-8"?>
<Properties xmlns="http://schemas.openxmlformats.org/officeDocument/2006/custom-properties" xmlns:vt="http://schemas.openxmlformats.org/officeDocument/2006/docPropsVTypes"/>
</file>