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23A"/>
          <w:sz w:val="52"/>
        </w:rPr>
        <w:t>HR Attrition Case Study</w:t>
      </w:r>
    </w:p>
    <w:p>
      <w:r>
        <w:rPr>
          <w:color w:val="52514E"/>
          <w:sz w:val="28"/>
        </w:rPr>
        <w:t>Narrative, Insights &amp; Recommendation Plan</w:t>
      </w:r>
    </w:p>
    <w:p>
      <w:r>
        <w:rPr>
          <w:color w:val="52514E"/>
          <w:sz w:val="20"/>
        </w:rPr>
        <w:t>BI Developer assessment — GBS BI HUB, Teleperformance  ·  Moataz Elmesmary  ·  August 2026</w:t>
      </w:r>
    </w:p>
    <w:p/>
    <w:p>
      <w:pPr>
        <w:pStyle w:val="Heading1"/>
      </w:pPr>
      <w:r>
        <w:t>1. Executive narrative</w:t>
      </w:r>
    </w:p>
    <w:p>
      <w:r>
        <w:t>The headline number — 237 leavers out of 1,470 employees, a 16.12% attrition rate — looks like a moderate, company-wide problem. It is neither. Beneath the average sits an 8.3x spread in risk: the safest population (no overtime, JobLevel 3+) loses just 8.24% of its people, while the worst cell — overtime workers earning under $2,500 a month — loses 68.57%, meaning those employees are literally more likely to leave than to stay. The losses are ferociously concentrated: 53.6% of all leavers come from the 28.3% of staff working overtime; 60% come from just three low-paid frontline roles (Laboratory Technician, Research Scientist, Sales Representative — 142 of 237 leavers); 65% hold zero stock options; 31.6% are in their first year; and 67.5% are aged 35 or under. This is not a workforce problem — it is a small number of identifiable, junior, underpaid, overworked pockets bleeding out at coin-flip rates while recruiting and onboarding investment is written off before it pays back.</w:t>
      </w:r>
    </w:p>
    <w:p>
      <w:r>
        <w:t>The drivers are clear and they compound multiplicatively. Overtime is the single strongest factor in the dataset (30.53% vs 10.44%, chi-square 87.6), and when layered on low pay or junior level it roughly doubles: OT + income under $2.5K hits 68.57%, OT + JobLevel 1 hits 52.56% (82 leavers — over a third of company attrition from 156 people), and OT in the first two years hits 50.96%. Pay itself follows a clean gradient — 34.07% attrition below $2.5K falling to 3.76% at $15-20K — and within the frontline roles the leavers were specifically the underpaid ones (12-28% below stayer medians), while senior leavers actually out-earned stayers, proving two different problems need two different budgets. The 0-to-1 stock option step alone coincides with a drop from 24.41% to 9.4%. Just as important is what is NOT driving attrition: promotion stagnation (p=0.199 — long-stagnant veterans are the most loyal cohort at 13.79%), gender (p=0.291), and salary hikes, which are statistically identical for leavers and stayers (p=0.614) — which is why the company loses 37 top-rated performers a year at the same 16.37% rate as everyone else. The real tenure-side signal is manager continuity: leavers average 2.85 years with their current manager versus 4.37 for stayers.</w:t>
      </w:r>
    </w:p>
    <w:p>
      <w:r>
        <w:t>The plan sequences spend against this concentration. In the first three months, the quick wins are governance, not money: overtime caps for JobLevel 1 and first-year staff, a ban on routine Sales Rep overtime, triage of the bottom-satisfaction scorers, and a rebuilt dashboard with OverTime as the top-level filter and rate-plus-count views so leadership stops steering by a misleading average. In months three to nine, targeted compensation does the heavy lifting: a pay floor for the &lt;$2.5K band (fixing just 70 OT salaries saves ~36 exits), market benchmarks for the three bleeding roles, level-1 equity for the 631 zero-stock employees, a differentiated merit matrix for top performers, and structured first-year onboarding (~35 exits saved). Beyond nine months, structural fixes lock in the gains: a published L1-to-L2 progression framework, manager-continuity rules, reallocation of retention spend away from the already-safe 114 top earners, and tiered risk reporting as the permanent BI standard. These savings overlap and are not simply additive, but overtime normalization alone is worth ~84 exits (a 35% cut), and the combined program credibly moves company attrition from 16.12% toward the 11% range within 18 months — with nearly all spend focused on segments of 70 to 631 people rather than across-the-board programs.</w:t>
      </w:r>
    </w:p>
    <w:p>
      <w:pPr>
        <w:pStyle w:val="Heading1"/>
      </w:pPr>
      <w:r>
        <w:t>2. How the analysis was built</w:t>
      </w:r>
    </w:p>
    <w:p>
      <w:r>
        <w:t>Data. IBM HR Employee Attrition snapshot: 1,470 employees, 35 columns, zero nulls, zero duplicate EmployeeNumbers. Three constant columns (EmployeeCount, Over18, StandardHours) carry no information and were dropped from the model.</w:t>
      </w:r>
    </w:p>
    <w:p>
      <w:r>
        <w:t>Model (Task 1). Star schema with grain = employee: FactEmployee (1,470 rows — numeric facts, satisfaction scores, the Attrition flag) joined 1-to-many, single direction, to DimDepartment, DimJobRole, DimEducation, DimDemographics (Gender × MaritalStatus × AgeBand) and DimTravel via surrogate integer keys. Ready-to-load CSVs are in data/star_schema; Power Query M and the full build path are in docs/PowerBI_Build_Guide.md.</w:t>
      </w:r>
    </w:p>
    <w:p>
      <w:r>
        <w:t>Measures (Task 2). A 25-measure DAX library, every measure written with VAR/RETURN, including benchmark-vs-segment deltas (REMOVEFILTERS), an overtime risk multiplier, income-gap and replacement-cost measures, and IQR outlier measures computed in-model with PERCENTILEX.INC (docs/DAX_Measures.dax).</w:t>
      </w:r>
    </w:p>
    <w:p>
      <w:r>
        <w:t>Statistics (Task 3). Chi-square tests for categorical drivers and Welch t-tests for numeric ones; every rate quoted in this document is significant unless explicitly flagged otherwise (gender p=0.291, salary-hike p=0.614, promotion-gap p=0.199 are called out as non-drivers). Outliers use the standard IQR rule (Q3 + 1.5×IQR). Every figure was additionally re-verified against the raw data by an independent fact-checking pass before inclusion.</w:t>
      </w:r>
    </w:p>
    <w:p>
      <w:pPr>
        <w:pStyle w:val="Heading1"/>
      </w:pPr>
      <w:r>
        <w:t>3. The ten insights that matter (verified)</w:t>
      </w:r>
    </w:p>
    <w:p>
      <w:r>
        <w:rPr>
          <w:b/>
          <w:color w:val="D03B3B"/>
          <w:sz w:val="24"/>
        </w:rPr>
        <w:t xml:space="preserve">#1  </w:t>
      </w:r>
      <w:r>
        <w:rPr>
          <w:b/>
          <w:sz w:val="23"/>
        </w:rPr>
        <w:t>Overtime is the single strongest attrition driver in the dataset: 30.53% of overtime workers leave versus 10.44% of non-overtime workers (2.9x), and the 416 overtime employees (28.3% of headcount) supply 127 of 237 leavers — 53.6% of ALL attrition. Its chi-square (87.6) edges out even JobRole (86.2).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Make OverTime the top-level filter on the attrition dashboard and launch an overtime-governance program (mandatory OT approval, workload rebalancing, comp-off); if the 416 OT workers left at the non-OT rate of 10.44%, expected leavers drop from 127 to ~43 — roughly 84 fewer exits, a 35% cut in total company attrition.</w:t>
      </w:r>
    </w:p>
    <w:p>
      <w:r>
        <w:rPr>
          <w:b/>
          <w:color w:val="D03B3B"/>
          <w:sz w:val="24"/>
        </w:rPr>
        <w:t xml:space="preserve">#2  </w:t>
      </w:r>
      <w:r>
        <w:rPr>
          <w:b/>
          <w:sz w:val="23"/>
        </w:rPr>
        <w:t>Risk is multiplicative, not additive: OverTime + JobLevel 1 churns at 52.56% (82 of 156) — roughly double either factor alone (JL1 26.34%, OT 30.53%) — and this 10.6%-of-headcount segment produces 34.6% of all company attrition; the closely overlapping OverTime + tenure &lt;=2 years cell runs 50.96% (53 of 104), meaning every second overtime-loaded new joiner is lost.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Build a named 156-person watch list (OT flag AND JobLevel=1) with monthly manager review, OT caps, and accelerated level-2 promotion paths, plus a no-overtime rule for the first 12 months of employment with HR sign-off exceptions; bringing the segment to the No-OT rate of 10.44% saves ~66 of its 82 leavers, and even halving the rate saves ~41 exits per year.</w:t>
      </w:r>
    </w:p>
    <w:p>
      <w:r>
        <w:rPr>
          <w:b/>
          <w:color w:val="D03B3B"/>
          <w:sz w:val="24"/>
        </w:rPr>
        <w:t xml:space="preserve">#3  </w:t>
      </w:r>
      <w:r>
        <w:rPr>
          <w:b/>
          <w:sz w:val="23"/>
        </w:rPr>
        <w:t>The lowest income band is the concentration point and overtime turns it into near-certain churn: the &lt;$2.5K band holds 226 employees (15.4% of 1470) yet supplies 77 of 237 leavers (32.5%) at 34.07%, and the OverTime + Income&lt;$2.5K cell loses 48 of 70 people (68.57%) — the worst segment in the entire dataset, where an employee is more likely to leave than to stay.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Introduce a pay floor lifting the &lt;$2.5K band into the $2.5-5K band (which runs at 16.44%) and cap or premium-pay overtime for that band, starting with the 70 sub-$2.5K overtime workers: at the 16.44% band rate their expected leavers fall from 48 to ~12 (~36 saved from adjusting only 70 salaries), and band-wide the move retains roughly 30-40 of the 77 annual leavers — likely the highest-ROI action in the analysis.</w:t>
      </w:r>
    </w:p>
    <w:p>
      <w:r>
        <w:rPr>
          <w:b/>
          <w:color w:val="D03B3B"/>
          <w:sz w:val="24"/>
        </w:rPr>
        <w:t xml:space="preserve">#4  </w:t>
      </w:r>
      <w:r>
        <w:rPr>
          <w:b/>
          <w:sz w:val="23"/>
        </w:rPr>
        <w:t>Zero equity marks nearly two-thirds of all attrition: StockOptionLevel 0 covers 631 of 1470 people (42.9%) but 154 of 237 leavers (65%), churning at 24.41% versus 9.4% at level 1 — and the marginal value is entirely in the 0-to-1 step (level 3 rebounds to 17.65%). The gap compounds with life stage: all 470 Single employees sit at level 0 and churn at 25.53%, supplying 120 of 237 leavers (50.6%), rising to 49.62% (65 of 131) when overtime is added.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Roll out a broad-based level-1 equity grant (or equivalent retention bonus vesting over 2-3 years) to the 631 zero-stock employees, prioritizing the 470-person zero-stock-and-single overlap, and audit award eligibility so grants follow role and performance rather than correlating with life stage; closing even a third of the 24.41%-vs-9.4% gap saves on the order of 25-30 leavers per year.</w:t>
      </w:r>
    </w:p>
    <w:p>
      <w:r>
        <w:rPr>
          <w:b/>
          <w:color w:val="D03B3B"/>
          <w:sz w:val="24"/>
        </w:rPr>
        <w:t xml:space="preserve">#5  </w:t>
      </w:r>
      <w:r>
        <w:rPr>
          <w:b/>
          <w:sz w:val="23"/>
        </w:rPr>
        <w:t>Attrition is front-loaded to an extreme degree: first-year employees churn at 34.88% (75 of 215), so 14.6% of headcount generates 31.6% of all attrition — the steepest cliff in the tenure curve, echoed by ages 18-25 at 35.77% (44 of 123). One in three new hires never reaches year two, and recruiting and onboarding spend is written off before payback.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Deploy a structured 30-60-90-day onboarding program with mandatory buddy assignment and quarterly year-one stay interviews, protected by the first-year no-overtime window; bringing the 0-1y rate down to the 2-3y band level of 18.43% saves ~35 exits per year and cuts company attrition from 16.12% to roughly 13.7%.</w:t>
      </w:r>
    </w:p>
    <w:p>
      <w:r>
        <w:rPr>
          <w:b/>
          <w:color w:val="D03B3B"/>
          <w:sz w:val="24"/>
        </w:rPr>
        <w:t xml:space="preserve">#6  </w:t>
      </w:r>
      <w:r>
        <w:rPr>
          <w:b/>
          <w:sz w:val="23"/>
        </w:rPr>
        <w:t>Three cheap frontline roles produce 60% of all leavers, and in each the leavers were the underpaid ones: Laboratory Technician (62 leavers, 23.94%, leaver median $2,603 vs stayer $3,068, 15.2% gap), Research Scientist (47 leavers, 16.1%, $2,461 vs $2,936, 16.2% gap) and Sales Representative (33 leavers, 39.76% — the worst single-role rate — $2,325 vs $2,643, 12.0% gap) together account for 142 of 237 leavers; the Sales Rep + OverTime cell loses 16 of 24 people (66.67%).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Commission an external market benchmark for exactly these three roles, bring below-median incumbents to role median (targeting the 12-16% within-role gaps), and ban routine overtime for Sales Representatives; a targeted 10-15% adjustment in three roles plausibly addresses a third or more of the 142 annual leavers at the lowest salary base in the company.</w:t>
      </w:r>
    </w:p>
    <w:p>
      <w:r>
        <w:rPr>
          <w:b/>
          <w:color w:val="D03B3B"/>
          <w:sz w:val="24"/>
        </w:rPr>
        <w:t xml:space="preserve">#7  </w:t>
      </w:r>
      <w:r>
        <w:rPr>
          <w:b/>
          <w:sz w:val="23"/>
        </w:rPr>
        <w:t>The reward system provides zero retention differentiation: top performers (rating 4) leave at 16.37% (37 of 226), statistically identical to rating-3 employees at 16.08%, and salary hikes are flat across outcomes (leavers 15.1% vs stayers 15.23% mean, median 14% for both, p=0.614) — the company loses 37 documented top-rated employees a year while paying flight risks and stars the same raise.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Restructure the merit cycle to a differentiated matrix (8-10% baseline, 18-20% for rating-4 employees in high-attrition roles) funded by trimming raises in near-zero-attrition top income bands, and grant level-1 stock to rating-4 staff currently at level 0 (24.41% vs 9.4%); this directly targets and could preserve 15-20 of the 37 annual top-talent losses at flat total budget.</w:t>
      </w:r>
    </w:p>
    <w:p>
      <w:r>
        <w:rPr>
          <w:b/>
          <w:color w:val="D03B3B"/>
          <w:sz w:val="24"/>
        </w:rPr>
        <w:t xml:space="preserve">#8  </w:t>
      </w:r>
      <w:r>
        <w:rPr>
          <w:b/>
          <w:sz w:val="23"/>
        </w:rPr>
        <w:t>Satisfaction metrics are threshold effects, not gradients — the signal lives entirely at the bottom score: EnvironmentSatisfaction 1 churns at 25.35% (72 of 284, contributing 30% of all attrition) while levels 2-4 cluster at 13.45-14.98%; JobInvolvement 1 shows the steepest spread at 33.73% (28 of 83) vs 9.03% at level 4; WorkLifeBalance 1 runs 31.25% (25 of 80) while the 'best' score 4 actually churns higher than 3 (17.65% vs 14.22%). Broad wellbeing programs nudging averages upward will not move attrition.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Replace blanket engagement spend with targeted triage of the bottom-score populations only — manager-led root-cause interviews and 90-day fix plans for the 284 EnvSat=1 (~29 savable exits), role-redesign conversations within 30 days for the 83 JobInvolvement=1 (~12 savable), and workload correction for the 80 WLB=1 (~14 savable).</w:t>
      </w:r>
    </w:p>
    <w:p>
      <w:r>
        <w:rPr>
          <w:b/>
          <w:color w:val="D03B3B"/>
          <w:sz w:val="24"/>
        </w:rPr>
        <w:t xml:space="preserve">#9  </w:t>
      </w:r>
      <w:r>
        <w:rPr>
          <w:b/>
          <w:sz w:val="23"/>
        </w:rPr>
        <w:t>Promotion stagnation is a retention red herring while manager continuity is the real tenure-side signal: YearsSinceLastPromotion is statistically insignificant (leavers 1.95 vs stayers 2.23, p=0.199, corr -0.033) and long-stagnant veterans are the MOST loyal cohort (10y+ tenure with 7y+ no promotion: 13.79%; &gt;7.5y promotion outliers: 12.15% — both below the 16.12% average); meanwhile leavers average 2.85 years with their current manager vs 4.37 for stayers (corr -0.156) and 2.9 vs 4.48 years in role (corr -0.161), roughly 5x stronger correlates.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Reallocate promotion-fairness retention budget away from long-tenured stagnant employees toward the 34.88% first-year cohort, add 'manager changes in last 24 months' as a tracked dashboard risk flag, and require HR review before reassigning employees in their first two years under a manager — same spend, redirected to where each point of improvement saves ~2 employees.</w:t>
      </w:r>
    </w:p>
    <w:p>
      <w:r>
        <w:rPr>
          <w:b/>
          <w:color w:val="D03B3B"/>
          <w:sz w:val="24"/>
        </w:rPr>
        <w:t xml:space="preserve">#10  </w:t>
      </w:r>
      <w:r>
        <w:rPr>
          <w:b/>
          <w:sz w:val="23"/>
        </w:rPr>
        <w:t>Single-KPI, rate-ranked reporting systematically misallocates leadership attention: the 16.12% headline conceals an 8.3x internal spread (68.57% in the worst cell vs 8.24% for No-OT JobLevel&gt;=3); rate-ranking points executives at Sales (20.63%) while R&amp;D supplies 133 of 237 leavers (56.1% of all replacement cost) at a below-average 13.84%; and of four pay fields only MonthlyIncome discriminates (corr -0.16, p=4.43e-13) — HourlyRate (p=0.791) and MonthlyRate (p=0.565) are pure noise, as is gender (p=0.291).</w:t>
      </w:r>
    </w:p>
    <w:p>
      <w:pPr>
        <w:spacing w:after="200"/>
        <w:ind w:left="360"/>
      </w:pPr>
      <w:r>
        <w:rPr>
          <w:b/>
          <w:color w:val="16223A"/>
        </w:rPr>
        <w:t xml:space="preserve">Action: </w:t>
      </w:r>
      <w:r>
        <w:t>Redesign the BI deliverable around risk tiers instead of one KPI: a tiered heat map (OT status x JobLevel x income band) benchmarked against the 8.24% No-OT senior segment, dual rate-plus-absolute-count views per department, alerting when any segment exceeds 2x the company rate, and dropping HourlyRate, MonthlyRate, and gender as retention KPIs — converting the dashboard from descriptive to operational.</w:t>
      </w:r>
    </w:p>
    <w:p>
      <w:pPr>
        <w:pStyle w:val="Heading1"/>
      </w:pPr>
      <w:r>
        <w:t>4. Recommendation plan</w:t>
      </w:r>
    </w:p>
    <w:p>
      <w:pPr>
        <w:pStyle w:val="Heading2"/>
      </w:pPr>
      <w:r>
        <w:t>Quick wins — 0-3 months (governance, not money)</w:t>
      </w:r>
    </w:p>
    <w:p>
      <w:pPr>
        <w:pStyle w:val="ListBullet"/>
      </w:pPr>
      <w:r>
        <w:t>Impose mandatory overtime approval and caps for JobLevel 1 staff and build the named 156-person OT+JobLevel-1 watch list with monthly manager review — normalizing this 52.56% segment even halfway saves ~41 exits per year.</w:t>
      </w:r>
    </w:p>
    <w:p>
      <w:pPr>
        <w:pStyle w:val="ListBullet"/>
      </w:pPr>
      <w:r>
        <w:t>Institute a no-overtime policy for the first 12 months of employment (HR sign-off for exceptions) — bringing the OT + tenure&lt;=2y rate of 50.96% (53 of 104) to the no-OT rate of 10.44% saves ~42 exits.</w:t>
      </w:r>
    </w:p>
    <w:p>
      <w:pPr>
        <w:pStyle w:val="ListBullet"/>
      </w:pPr>
      <w:r>
        <w:t>Ban routine overtime for Sales Representatives immediately — cutting the 66.67% OT sub-segment (16 of 24) to the role base rate of 39.76% saves ~6 exits and protects the 83-person feeder pipeline for Sales Executive.</w:t>
      </w:r>
    </w:p>
    <w:p>
      <w:pPr>
        <w:pStyle w:val="ListBullet"/>
      </w:pPr>
      <w:r>
        <w:t>Launch bottom-score triage lists for the 284 EnvSat=1, 83 JobInvolvement=1, and 80 WLB=1 employees with manager 1:1s and 90-day fix plans — worth roughly 29, 12, and 14 savable exits respectively.</w:t>
      </w:r>
    </w:p>
    <w:p>
      <w:pPr>
        <w:pStyle w:val="ListBullet"/>
      </w:pPr>
      <w:r>
        <w:t>Adopt a 'no employee at zero trainings' rule with an automated HRIS report by Q3 — moving the 54-person zero-training cohort from 27.78% to the one-training rate of 12.68% saves ~8 exits for ~54 training seats.</w:t>
      </w:r>
    </w:p>
    <w:p>
      <w:pPr>
        <w:pStyle w:val="ListBullet"/>
      </w:pPr>
      <w:r>
        <w:t>Rebuild the attrition dashboard now: OverTime as the top-level filter, dual rate-plus-count views, alerting at 2x the 16.12% company rate, and retire HourlyRate (p=0.791), MonthlyRate (p=0.565), and gender (p=0.291) as retention KPIs.</w:t>
      </w:r>
    </w:p>
    <w:p>
      <w:pPr>
        <w:pStyle w:val="Heading2"/>
      </w:pPr>
      <w:r>
        <w:t>Medium term — 3-9 months (targeted compensation)</w:t>
      </w:r>
    </w:p>
    <w:p>
      <w:pPr>
        <w:pStyle w:val="ListBullet"/>
      </w:pPr>
      <w:r>
        <w:t>Introduce a pay floor lifting the 226-person &lt;$2.5K band into the $2.5-5K band (16.44% attrition), prioritizing the 70 OT+&lt;2.5K employees — their 48 expected leavers fall to ~12 (~36 saved), with 30-40 of the band's 77 annual leavers retainable overall.</w:t>
      </w:r>
    </w:p>
    <w:p>
      <w:pPr>
        <w:pStyle w:val="ListBullet"/>
      </w:pPr>
      <w:r>
        <w:t>Commission an external market benchmark and within-role compression fixes for Laboratory Technician, Research Scientist, and Sales Representative (leaver pay gaps 15.2%, 16.2%, 12.0%) — plausibly addressing a third or more of their 142 combined annual leavers.</w:t>
      </w:r>
    </w:p>
    <w:p>
      <w:pPr>
        <w:pStyle w:val="ListBullet"/>
      </w:pPr>
      <w:r>
        <w:t>Extend a level-1 equity grant or 2-3-year vesting retention bonus to the 631 zero-stock employees, prioritizing the 470 zero-stock singles at 25.53% — closing a third of the 24.41%-vs-9.4% gap saves ~25-30 exits per year.</w:t>
      </w:r>
    </w:p>
    <w:p>
      <w:pPr>
        <w:pStyle w:val="ListBullet"/>
      </w:pPr>
      <w:r>
        <w:t>Restructure the merit cycle into a differentiated matrix (8-10% baseline, 18-20% for rating-4 employees in high-attrition roles), funded by trimming top-band raises — directly targeting the 37 annual rating-4 losses that flat 14% median hikes currently fail to prevent.</w:t>
      </w:r>
    </w:p>
    <w:p>
      <w:pPr>
        <w:pStyle w:val="ListBullet"/>
      </w:pPr>
      <w:r>
        <w:t>Deploy the structured 30-60-90-day onboarding program with buddy assignment and quarterly year-one stay interviews — cutting first-year attrition from 34.88% to the 2-3y band's 18.43% saves ~35 exits and lowers company attrition to ~13.7%.</w:t>
      </w:r>
    </w:p>
    <w:p>
      <w:pPr>
        <w:pStyle w:val="ListBullet"/>
      </w:pPr>
      <w:r>
        <w:t>Cap consecutive travel assignments, rotate frequent-travel duty across the 1,043-person rare-travel pool, and go virtual-first for the 96 single frequent travelers — moving the 277 frequent travelers from 24.91% to the rare-travel rate of 14.96% saves ~28 exits.</w:t>
      </w:r>
    </w:p>
    <w:p>
      <w:pPr>
        <w:pStyle w:val="ListBullet"/>
      </w:pPr>
      <w:r>
        <w:t>Offer hybrid days or a transport allowance specifically to the 444 employees commuting 11+ km (blended ~21% rate, 93 leavers) — reaching the 6-10 km rate of 14.47% saves up to ~29 exits, ~10 even at one-third effect.</w:t>
      </w:r>
    </w:p>
    <w:p>
      <w:pPr>
        <w:pStyle w:val="Heading2"/>
      </w:pPr>
      <w:r>
        <w:t>Strategic — 9+ months (structural)</w:t>
      </w:r>
    </w:p>
    <w:p>
      <w:pPr>
        <w:pStyle w:val="ListBullet"/>
      </w:pPr>
      <w:r>
        <w:t>Publish a defined 18-24-month JobLevel 1-to-2 progression framework with skill milestones and mid-cycle promotion windows — closing a quarter of the 26.34%-vs-9.74% level gap retains ~22 additional employees per year.</w:t>
      </w:r>
    </w:p>
    <w:p>
      <w:pPr>
        <w:pStyle w:val="ListBullet"/>
      </w:pPr>
      <w:r>
        <w:t>Institutionalize manager continuity: track 'manager changes in last 24 months' as a standing risk flag and require HR review before reassigning employees in their first two years under a manager (leavers average 2.85 vs 4.37 years with current manager, p=1.19e-10).</w:t>
      </w:r>
    </w:p>
    <w:p>
      <w:pPr>
        <w:pStyle w:val="ListBullet"/>
      </w:pPr>
      <w:r>
        <w:t>Permanently reallocate retention spend away from proven-safe populations — the 114 earners above the $16,581 fence (4.39% attrition) and long-stagnant veterans (13.79%, promotion-lag p=0.199) — into the early-tenure and sub-$2.5K segments where rates run 34-69%.</w:t>
      </w:r>
    </w:p>
    <w:p>
      <w:pPr>
        <w:pStyle w:val="ListBullet"/>
      </w:pPr>
      <w:r>
        <w:t>Build an early-career retention track (12/24-month career-path conversations, mentor pairing, accelerated first-promotion review) for the 729 employees aged 35 and under who supply 67.5% of all attrition — a 3-point reduction across the group saves ~22 exits per year.</w:t>
      </w:r>
    </w:p>
    <w:p>
      <w:pPr>
        <w:pStyle w:val="ListBullet"/>
      </w:pPr>
      <w:r>
        <w:t>Launch a succession and knowledge-transfer program triggered at 20 years of tenure or age 55 — full coverage of the 66 employees at 21+ years (12.12% attrition) and 47 aged 56-60 (17.02%) is low-cost and converts unplanned senior exits into planned transitions.</w:t>
      </w:r>
    </w:p>
    <w:p>
      <w:pPr>
        <w:pStyle w:val="ListBullet"/>
      </w:pPr>
      <w:r>
        <w:t>Make tiered risk-segment reporting (OT status x JobLevel x income band, benchmarked to the 8.24% No-OT senior rate) the permanent BI standard so the 8.3x internal risk spread stays visible to leadership and resource allocation follows the fire, not the average.</w:t>
      </w:r>
    </w:p>
    <w:p>
      <w:pPr>
        <w:pStyle w:val="Heading1"/>
      </w:pPr>
      <w:r>
        <w:t>5. Expected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annual saves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Share of today's attrition</w:t>
            </w:r>
          </w:p>
        </w:tc>
      </w:tr>
      <w:tr>
        <w:tc>
          <w:tcPr>
            <w:tcW w:type="dxa" w:w="2880"/>
          </w:tcPr>
          <w:p>
            <w:r>
              <w:t>Overtime governance (all OT staff to No-OT rate)</w:t>
            </w:r>
          </w:p>
        </w:tc>
        <w:tc>
          <w:tcPr>
            <w:tcW w:type="dxa" w:w="2880"/>
          </w:tcPr>
          <w:p>
            <w:r>
              <w:t>~84 exits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First-year protection + structured onboarding</w:t>
            </w:r>
          </w:p>
        </w:tc>
        <w:tc>
          <w:tcPr>
            <w:tcW w:type="dxa" w:w="2880"/>
          </w:tcPr>
          <w:p>
            <w:r>
              <w:t>~35 exits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Pay floor &lt;$2.5K + level-1 equity for zero-stock staff</w:t>
            </w:r>
          </w:p>
        </w:tc>
        <w:tc>
          <w:tcPr>
            <w:tcW w:type="dxa" w:w="2880"/>
          </w:tcPr>
          <w:p>
            <w:r>
              <w:t>~55-70 exits</w:t>
            </w:r>
          </w:p>
        </w:tc>
        <w:tc>
          <w:tcPr>
            <w:tcW w:type="dxa" w:w="2880"/>
          </w:tcPr>
          <w:p>
            <w:r>
              <w:t>23-30%</w:t>
            </w:r>
          </w:p>
        </w:tc>
      </w:tr>
      <w:tr>
        <w:tc>
          <w:tcPr>
            <w:tcW w:type="dxa" w:w="2880"/>
          </w:tcPr>
          <w:p>
            <w:r>
              <w:t>Bottom-score triage (EnvSat/JobInvolvement/WLB = 1)</w:t>
            </w:r>
          </w:p>
        </w:tc>
        <w:tc>
          <w:tcPr>
            <w:tcW w:type="dxa" w:w="2880"/>
          </w:tcPr>
          <w:p>
            <w:r>
              <w:t>~29-55 exits</w:t>
            </w:r>
          </w:p>
        </w:tc>
        <w:tc>
          <w:tcPr>
            <w:tcW w:type="dxa" w:w="2880"/>
          </w:tcPr>
          <w:p>
            <w:r>
              <w:t>12-23%</w:t>
            </w:r>
          </w:p>
        </w:tc>
      </w:tr>
    </w:tbl>
    <w:p/>
    <w:p>
      <w:r>
        <w:rPr>
          <w:b/>
        </w:rPr>
        <w:t>Programs overlap and are not additive. The honest combined objective: cut attrition from 16.12% to ≈10-11% within 12-18 months, with nearly all spend focused on identifiable segments of 70-631 people rather than across-the-board programs.</w:t>
      </w:r>
    </w:p>
    <w:p>
      <w:pPr>
        <w:pStyle w:val="Heading1"/>
      </w:pPr>
      <w:r>
        <w:t>6. Deliverables map (where each task is answered)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>
              <w:t>1. Star-schema Power BI model</w:t>
            </w:r>
          </w:p>
        </w:tc>
        <w:tc>
          <w:tcPr>
            <w:tcW w:type="dxa" w:w="4320"/>
          </w:tcPr>
          <w:p>
            <w:r>
              <w:t>data/star_schema/*.csv + docs/PowerBI_Build_Guide.md (schema, M code, relationships)</w:t>
            </w:r>
          </w:p>
        </w:tc>
      </w:tr>
      <w:tr>
        <w:tc>
          <w:tcPr>
            <w:tcW w:type="dxa" w:w="4320"/>
          </w:tcPr>
          <w:p>
            <w:r>
              <w:t>2. DAX measures with variables</w:t>
            </w:r>
          </w:p>
        </w:tc>
        <w:tc>
          <w:tcPr>
            <w:tcW w:type="dxa" w:w="4320"/>
          </w:tcPr>
          <w:p>
            <w:r>
              <w:t>docs/DAX_Measures.dax (25 measures, all VAR/RETURN)</w:t>
            </w:r>
          </w:p>
        </w:tc>
      </w:tr>
      <w:tr>
        <w:tc>
          <w:tcPr>
            <w:tcW w:type="dxa" w:w="4320"/>
          </w:tcPr>
          <w:p>
            <w:r>
              <w:t>3. Outliers &amp; trends</w:t>
            </w:r>
          </w:p>
        </w:tc>
        <w:tc>
          <w:tcPr>
            <w:tcW w:type="dxa" w:w="4320"/>
          </w:tcPr>
          <w:p>
            <w:r>
              <w:t>python/full_eda.py + analysis_output/stats.json + section 3 of this document</w:t>
            </w:r>
          </w:p>
        </w:tc>
      </w:tr>
      <w:tr>
        <w:tc>
          <w:tcPr>
            <w:tcW w:type="dxa" w:w="4320"/>
          </w:tcPr>
          <w:p>
            <w:r>
              <w:t>4. Dashboards</w:t>
            </w:r>
          </w:p>
        </w:tc>
        <w:tc>
          <w:tcPr>
            <w:tcW w:type="dxa" w:w="4320"/>
          </w:tcPr>
          <w:p>
            <w:r>
              <w:t>docs/PowerBI_Build_Guide.md — 3-page spec: Executive Overview, Drivers &amp; Segments, Tenure &amp; Watchlist</w:t>
            </w:r>
          </w:p>
        </w:tc>
      </w:tr>
      <w:tr>
        <w:tc>
          <w:tcPr>
            <w:tcW w:type="dxa" w:w="4320"/>
          </w:tcPr>
          <w:p>
            <w:r>
              <w:t>5. Narrative &amp; recommendations</w:t>
            </w:r>
          </w:p>
        </w:tc>
        <w:tc>
          <w:tcPr>
            <w:tcW w:type="dxa" w:w="4320"/>
          </w:tcPr>
          <w:p>
            <w:r>
              <w:t>This document, sections 1, 4 and 5</w:t>
            </w:r>
          </w:p>
        </w:tc>
      </w:tr>
      <w:tr>
        <w:tc>
          <w:tcPr>
            <w:tcW w:type="dxa" w:w="4320"/>
          </w:tcPr>
          <w:p>
            <w:r>
              <w:t>6. Stakeholder presentation</w:t>
            </w:r>
          </w:p>
        </w:tc>
        <w:tc>
          <w:tcPr>
            <w:tcW w:type="dxa" w:w="4320"/>
          </w:tcPr>
          <w:p>
            <w:r>
              <w:t>HR_Attrition_Presentation.pptx (9 slides + full 5-minute speaker script in notes)</w:t>
            </w:r>
          </w:p>
        </w:tc>
      </w:tr>
      <w:tr>
        <w:tc>
          <w:tcPr>
            <w:tcW w:type="dxa" w:w="4320"/>
          </w:tcPr>
          <w:p>
            <w:r>
              <w:t>7. SQL join + aggregation</w:t>
            </w:r>
          </w:p>
        </w:tc>
        <w:tc>
          <w:tcPr>
            <w:tcW w:type="dxa" w:w="4320"/>
          </w:tcPr>
          <w:p>
            <w:r>
              <w:t>sql/attrition_analysis.sql (required query + 3 bonus queries, executed &amp; validated)</w:t>
            </w:r>
          </w:p>
        </w:tc>
      </w:tr>
      <w:tr>
        <w:tc>
          <w:tcPr>
            <w:tcW w:type="dxa" w:w="4320"/>
          </w:tcPr>
          <w:p>
            <w:r>
              <w:t>8. Python experience levels</w:t>
            </w:r>
          </w:p>
        </w:tc>
        <w:tc>
          <w:tcPr>
            <w:tcW w:type="dxa" w:w="4320"/>
          </w:tcPr>
          <w:p>
            <w:r>
              <w:t>python/experience_levels.py (Junior 228 / Mid 493 / Senior 749 — verified output)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22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22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