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02B55"/>
          <w:sz w:val="52"/>
        </w:rPr>
        <w:t>HR Attrition Dashboard</w:t>
      </w:r>
    </w:p>
    <w:p>
      <w:pPr>
        <w:spacing w:after="40"/>
      </w:pPr>
      <w:r>
        <w:rPr>
          <w:b w:val="0"/>
          <w:i w:val="0"/>
          <w:color w:val="52514E"/>
          <w:sz w:val="26"/>
        </w:rPr>
        <w:t>Technical documentation — data pipeline, model, DAX and report</w:t>
      </w:r>
    </w:p>
    <w:p>
      <w:pPr>
        <w:spacing w:after="280"/>
      </w:pPr>
      <w:r>
        <w:rPr>
          <w:b w:val="0"/>
          <w:i w:val="0"/>
          <w:color w:val="52514E"/>
          <w:sz w:val="19"/>
        </w:rPr>
        <w:t>Moataz Elmesmary  ·  BI Developer case study  ·  Teleperformance GBS BI HUB</w:t>
      </w:r>
    </w:p>
    <w:p>
      <w:pPr>
        <w:spacing w:after="240"/>
      </w:pPr>
      <w:r>
        <w:rPr>
          <w:b w:val="0"/>
          <w:i w:val="0"/>
          <w:sz w:val="21"/>
        </w:rPr>
        <w:t>This document explains how the file is built: every Power Query step, every table and column, every DAX measure with the purpose of each function used, and what each visual on each page is showing. It is written so the file can be picked up, audited or extended by someone who has never seen it.</w:t>
      </w:r>
    </w:p>
    <w:tbl>
      <w:tblPr>
        <w:tblStyle w:val="LightGrid-Accent1"/>
        <w:tblW w:type="auto" w:w="0"/>
        <w:jc w:val="center"/>
        <w:tblLook w:firstColumn="1" w:firstRow="1" w:lastColumn="0" w:lastRow="0" w:noHBand="0" w:noVBand="1" w:val="04A0"/>
      </w:tblPr>
      <w:tblGrid>
        <w:gridCol w:w="4896"/>
        <w:gridCol w:w="4896"/>
      </w:tblGrid>
      <w:tr>
        <w:tc>
          <w:tcPr>
            <w:tcW w:type="dxa" w:w="2304"/>
          </w:tcPr>
          <w:p>
            <w:r/>
            <w:r>
              <w:rPr>
                <w:b/>
                <w:sz w:val="19"/>
              </w:rPr>
              <w:t>Item</w:t>
            </w:r>
          </w:p>
        </w:tc>
        <w:tc>
          <w:tcPr>
            <w:tcW w:type="dxa" w:w="7488"/>
          </w:tcPr>
          <w:p>
            <w:r/>
            <w:r>
              <w:rPr>
                <w:b/>
                <w:sz w:val="19"/>
              </w:rPr>
              <w:t>Value</w:t>
            </w:r>
          </w:p>
        </w:tc>
      </w:tr>
      <w:tr>
        <w:tc>
          <w:tcPr>
            <w:tcW w:type="dxa" w:w="2304"/>
          </w:tcPr>
          <w:p>
            <w:r/>
            <w:r>
              <w:rPr>
                <w:sz w:val="18"/>
              </w:rPr>
              <w:t>Source</w:t>
            </w:r>
          </w:p>
        </w:tc>
        <w:tc>
          <w:tcPr>
            <w:tcW w:type="dxa" w:w="7488"/>
          </w:tcPr>
          <w:p>
            <w:r/>
            <w:r>
              <w:rPr>
                <w:sz w:val="18"/>
              </w:rPr>
              <w:t>HR employee extract (Excel) — 1,470 rows, 35 columns</w:t>
            </w:r>
          </w:p>
        </w:tc>
      </w:tr>
      <w:tr>
        <w:tc>
          <w:tcPr>
            <w:tcW w:type="dxa" w:w="2304"/>
          </w:tcPr>
          <w:p>
            <w:r/>
            <w:r>
              <w:rPr>
                <w:sz w:val="18"/>
              </w:rPr>
              <w:t>Model</w:t>
            </w:r>
          </w:p>
        </w:tc>
        <w:tc>
          <w:tcPr>
            <w:tcW w:type="dxa" w:w="7488"/>
          </w:tcPr>
          <w:p>
            <w:r/>
            <w:r>
              <w:rPr>
                <w:sz w:val="18"/>
              </w:rPr>
              <w:t>Star schema — 1 fact, 5 dimensions, 1 disconnected scenario table</w:t>
            </w:r>
          </w:p>
        </w:tc>
      </w:tr>
      <w:tr>
        <w:tc>
          <w:tcPr>
            <w:tcW w:type="dxa" w:w="2304"/>
          </w:tcPr>
          <w:p>
            <w:r/>
            <w:r>
              <w:rPr>
                <w:sz w:val="18"/>
              </w:rPr>
              <w:t>Relationships</w:t>
            </w:r>
          </w:p>
        </w:tc>
        <w:tc>
          <w:tcPr>
            <w:tcW w:type="dxa" w:w="7488"/>
          </w:tcPr>
          <w:p>
            <w:r/>
            <w:r>
              <w:rPr>
                <w:sz w:val="18"/>
              </w:rPr>
              <w:t>5, all one-to-many, single direction</w:t>
            </w:r>
          </w:p>
        </w:tc>
      </w:tr>
      <w:tr>
        <w:tc>
          <w:tcPr>
            <w:tcW w:type="dxa" w:w="2304"/>
          </w:tcPr>
          <w:p>
            <w:r/>
            <w:r>
              <w:rPr>
                <w:sz w:val="18"/>
              </w:rPr>
              <w:t>Measures</w:t>
            </w:r>
          </w:p>
        </w:tc>
        <w:tc>
          <w:tcPr>
            <w:tcW w:type="dxa" w:w="7488"/>
          </w:tcPr>
          <w:p>
            <w:r/>
            <w:r>
              <w:rPr>
                <w:sz w:val="18"/>
              </w:rPr>
              <w:t>31 — every calculation lives in DAX, none in the source</w:t>
            </w:r>
          </w:p>
        </w:tc>
      </w:tr>
      <w:tr>
        <w:tc>
          <w:tcPr>
            <w:tcW w:type="dxa" w:w="2304"/>
          </w:tcPr>
          <w:p>
            <w:r/>
            <w:r>
              <w:rPr>
                <w:sz w:val="18"/>
              </w:rPr>
              <w:t>Report</w:t>
            </w:r>
          </w:p>
        </w:tc>
        <w:tc>
          <w:tcPr>
            <w:tcW w:type="dxa" w:w="7488"/>
          </w:tcPr>
          <w:p>
            <w:r/>
            <w:r>
              <w:rPr>
                <w:sz w:val="18"/>
              </w:rPr>
              <w:t>4 pages, 88 visuals</w:t>
            </w:r>
          </w:p>
        </w:tc>
      </w:tr>
      <w:tr>
        <w:tc>
          <w:tcPr>
            <w:tcW w:type="dxa" w:w="2304"/>
          </w:tcPr>
          <w:p>
            <w:r/>
            <w:r>
              <w:rPr>
                <w:sz w:val="18"/>
              </w:rPr>
              <w:t>Storage mode</w:t>
            </w:r>
          </w:p>
        </w:tc>
        <w:tc>
          <w:tcPr>
            <w:tcW w:type="dxa" w:w="7488"/>
          </w:tcPr>
          <w:p>
            <w:r/>
            <w:r>
              <w:rPr>
                <w:sz w:val="18"/>
              </w:rPr>
              <w:t>Import</w:t>
            </w:r>
          </w:p>
        </w:tc>
      </w:tr>
    </w:tbl>
    <w:p>
      <w:pPr>
        <w:spacing w:after="80"/>
      </w:pPr>
    </w:p>
    <w:p>
      <w:r>
        <w:br w:type="page"/>
      </w:r>
    </w:p>
    <w:p>
      <w:pPr>
        <w:pStyle w:val="Heading1"/>
      </w:pPr>
      <w:r>
        <w:t>1. Data pipeline (Power Query)</w:t>
      </w:r>
    </w:p>
    <w:p>
      <w:pPr>
        <w:spacing w:after="200"/>
      </w:pPr>
      <w:r>
        <w:rPr>
          <w:b w:val="0"/>
          <w:i w:val="0"/>
          <w:sz w:val="21"/>
        </w:rPr>
        <w:t>The pipeline follows one rule: the raw sheet is loaded once, cleaned once, and every table in the model is derived from that single cleaned query. Nothing is copied or maintained twice.</w:t>
      </w:r>
    </w:p>
    <w:p>
      <w:pPr>
        <w:spacing w:after="80"/>
      </w:pPr>
      <w:r>
        <w:rPr>
          <w:b/>
          <w:i w:val="0"/>
          <w:sz w:val="21"/>
        </w:rPr>
        <w:t>Query dependency chain</w:t>
      </w:r>
    </w:p>
    <w:p>
      <w:pPr>
        <w:spacing w:before="60" w:after="120"/>
        <w:ind w:left="230"/>
        <w:shd w:val="clear" w:fill="F2F5F9"/>
      </w:pPr>
      <w:r>
        <w:rPr>
          <w:rFonts w:ascii="Consolas" w:hAnsi="Consolas"/>
          <w:color w:val="1A3046"/>
          <w:sz w:val="17"/>
        </w:rPr>
        <w:t>DataFile (parameter)</w:t>
        <w:br/>
        <w:t xml:space="preserve">   └── Employees_Raw            cleaned source, not loaded to the model</w:t>
        <w:br/>
        <w:t xml:space="preserve">          ├── DimDepartment</w:t>
        <w:br/>
        <w:t xml:space="preserve">          ├── DimJobRole</w:t>
        <w:br/>
        <w:t xml:space="preserve">          ├── DimTravel</w:t>
        <w:br/>
        <w:t xml:space="preserve">          ├── DimEducation</w:t>
        <w:br/>
        <w:t xml:space="preserve">          ├── DimDemographics</w:t>
        <w:br/>
        <w:t xml:space="preserve">          └── FactEmployee      merges the five keys back on</w:t>
        <w:br/>
        <w:br/>
        <w:t>OT Reduction Scenario           generated in M, deliberately unrelated to the model</w:t>
      </w:r>
    </w:p>
    <w:p>
      <w:pPr>
        <w:pStyle w:val="Heading2"/>
      </w:pPr>
      <w:r>
        <w:t>1.1 M functions used, and why</w:t>
      </w:r>
    </w:p>
    <w:tbl>
      <w:tblPr>
        <w:tblStyle w:val="LightGrid-Accent1"/>
        <w:tblW w:type="auto" w:w="0"/>
        <w:jc w:val="center"/>
        <w:tblLook w:firstColumn="1" w:firstRow="1" w:lastColumn="0" w:lastRow="0" w:noHBand="0" w:noVBand="1" w:val="04A0"/>
      </w:tblPr>
      <w:tblGrid>
        <w:gridCol w:w="4896"/>
        <w:gridCol w:w="4896"/>
      </w:tblGrid>
      <w:tr>
        <w:tc>
          <w:tcPr>
            <w:tcW w:type="dxa" w:w="3600"/>
          </w:tcPr>
          <w:p>
            <w:r/>
            <w:r>
              <w:rPr>
                <w:b/>
                <w:sz w:val="19"/>
              </w:rPr>
              <w:t>Function</w:t>
            </w:r>
          </w:p>
        </w:tc>
        <w:tc>
          <w:tcPr>
            <w:tcW w:type="dxa" w:w="6192"/>
          </w:tcPr>
          <w:p>
            <w:r/>
            <w:r>
              <w:rPr>
                <w:b/>
                <w:sz w:val="19"/>
              </w:rPr>
              <w:t>What it does in this file</w:t>
            </w:r>
          </w:p>
        </w:tc>
      </w:tr>
      <w:tr>
        <w:tc>
          <w:tcPr>
            <w:tcW w:type="dxa" w:w="3600"/>
          </w:tcPr>
          <w:p>
            <w:r/>
            <w:r>
              <w:rPr>
                <w:sz w:val="18"/>
              </w:rPr>
              <w:t>Excel.Workbook(File.Contents(...))</w:t>
            </w:r>
          </w:p>
        </w:tc>
        <w:tc>
          <w:tcPr>
            <w:tcW w:type="dxa" w:w="6192"/>
          </w:tcPr>
          <w:p>
            <w:r/>
            <w:r>
              <w:rPr>
                <w:sz w:val="18"/>
              </w:rPr>
              <w:t>Opens the workbook and returns its sheets and tables as a navigable table.</w:t>
            </w:r>
          </w:p>
        </w:tc>
      </w:tr>
      <w:tr>
        <w:tc>
          <w:tcPr>
            <w:tcW w:type="dxa" w:w="3600"/>
          </w:tcPr>
          <w:p>
            <w:r/>
            <w:r>
              <w:rPr>
                <w:sz w:val="18"/>
              </w:rPr>
              <w:t>Table.PromoteHeaders</w:t>
            </w:r>
          </w:p>
        </w:tc>
        <w:tc>
          <w:tcPr>
            <w:tcW w:type="dxa" w:w="6192"/>
          </w:tcPr>
          <w:p>
            <w:r/>
            <w:r>
              <w:rPr>
                <w:sz w:val="18"/>
              </w:rPr>
              <w:t>Turns the first data row into column names.</w:t>
            </w:r>
          </w:p>
        </w:tc>
      </w:tr>
      <w:tr>
        <w:tc>
          <w:tcPr>
            <w:tcW w:type="dxa" w:w="3600"/>
          </w:tcPr>
          <w:p>
            <w:r/>
            <w:r>
              <w:rPr>
                <w:sz w:val="18"/>
              </w:rPr>
              <w:t>Table.TransformColumnTypes</w:t>
            </w:r>
          </w:p>
        </w:tc>
        <w:tc>
          <w:tcPr>
            <w:tcW w:type="dxa" w:w="6192"/>
          </w:tcPr>
          <w:p>
            <w:r/>
            <w:r>
              <w:rPr>
                <w:sz w:val="18"/>
              </w:rPr>
              <w:t>Sets an explicit data type per column. Doing this once at the source stops Power BI from guessing types later and keeps the model's memory footprint small.</w:t>
            </w:r>
          </w:p>
        </w:tc>
      </w:tr>
      <w:tr>
        <w:tc>
          <w:tcPr>
            <w:tcW w:type="dxa" w:w="3600"/>
          </w:tcPr>
          <w:p>
            <w:r/>
            <w:r>
              <w:rPr>
                <w:sz w:val="18"/>
              </w:rPr>
              <w:t>Table.RemoveColumns</w:t>
            </w:r>
          </w:p>
        </w:tc>
        <w:tc>
          <w:tcPr>
            <w:tcW w:type="dxa" w:w="6192"/>
          </w:tcPr>
          <w:p>
            <w:r/>
            <w:r>
              <w:rPr>
                <w:sz w:val="18"/>
              </w:rPr>
              <w:t>Drops columns that carry no information.</w:t>
            </w:r>
          </w:p>
        </w:tc>
      </w:tr>
      <w:tr>
        <w:tc>
          <w:tcPr>
            <w:tcW w:type="dxa" w:w="3600"/>
          </w:tcPr>
          <w:p>
            <w:r/>
            <w:r>
              <w:rPr>
                <w:sz w:val="18"/>
              </w:rPr>
              <w:t>Table.SelectColumns</w:t>
            </w:r>
          </w:p>
        </w:tc>
        <w:tc>
          <w:tcPr>
            <w:tcW w:type="dxa" w:w="6192"/>
          </w:tcPr>
          <w:p>
            <w:r/>
            <w:r>
              <w:rPr>
                <w:sz w:val="18"/>
              </w:rPr>
              <w:t>Keeps only the listed columns — the opposite of RemoveColumns.</w:t>
            </w:r>
          </w:p>
        </w:tc>
      </w:tr>
      <w:tr>
        <w:tc>
          <w:tcPr>
            <w:tcW w:type="dxa" w:w="3600"/>
          </w:tcPr>
          <w:p>
            <w:r/>
            <w:r>
              <w:rPr>
                <w:sz w:val="18"/>
              </w:rPr>
              <w:t>Table.Distinct</w:t>
            </w:r>
          </w:p>
        </w:tc>
        <w:tc>
          <w:tcPr>
            <w:tcW w:type="dxa" w:w="6192"/>
          </w:tcPr>
          <w:p>
            <w:r/>
            <w:r>
              <w:rPr>
                <w:sz w:val="18"/>
              </w:rPr>
              <w:t>Removes duplicate rows; this is what turns a fact column into a dimension.</w:t>
            </w:r>
          </w:p>
        </w:tc>
      </w:tr>
      <w:tr>
        <w:tc>
          <w:tcPr>
            <w:tcW w:type="dxa" w:w="3600"/>
          </w:tcPr>
          <w:p>
            <w:r/>
            <w:r>
              <w:rPr>
                <w:sz w:val="18"/>
              </w:rPr>
              <w:t>Table.Sort</w:t>
            </w:r>
          </w:p>
        </w:tc>
        <w:tc>
          <w:tcPr>
            <w:tcW w:type="dxa" w:w="6192"/>
          </w:tcPr>
          <w:p>
            <w:r/>
            <w:r>
              <w:rPr>
                <w:sz w:val="18"/>
              </w:rPr>
              <w:t>Orders the rows before the index is added, so the surrogate keys are stable between refreshes.</w:t>
            </w:r>
          </w:p>
        </w:tc>
      </w:tr>
      <w:tr>
        <w:tc>
          <w:tcPr>
            <w:tcW w:type="dxa" w:w="3600"/>
          </w:tcPr>
          <w:p>
            <w:r/>
            <w:r>
              <w:rPr>
                <w:sz w:val="18"/>
              </w:rPr>
              <w:t>Table.AddIndexColumn</w:t>
            </w:r>
          </w:p>
        </w:tc>
        <w:tc>
          <w:tcPr>
            <w:tcW w:type="dxa" w:w="6192"/>
          </w:tcPr>
          <w:p>
            <w:r/>
            <w:r>
              <w:rPr>
                <w:sz w:val="18"/>
              </w:rPr>
              <w:t>Adds a sequential integer — the surrogate key for the dimension.</w:t>
            </w:r>
          </w:p>
        </w:tc>
      </w:tr>
      <w:tr>
        <w:tc>
          <w:tcPr>
            <w:tcW w:type="dxa" w:w="3600"/>
          </w:tcPr>
          <w:p>
            <w:r/>
            <w:r>
              <w:rPr>
                <w:sz w:val="18"/>
              </w:rPr>
              <w:t>Table.AddColumn</w:t>
            </w:r>
          </w:p>
        </w:tc>
        <w:tc>
          <w:tcPr>
            <w:tcW w:type="dxa" w:w="6192"/>
          </w:tcPr>
          <w:p>
            <w:r/>
            <w:r>
              <w:rPr>
                <w:sz w:val="18"/>
              </w:rPr>
              <w:t>Adds a calculated column; used here for the banding logic.</w:t>
            </w:r>
          </w:p>
        </w:tc>
      </w:tr>
      <w:tr>
        <w:tc>
          <w:tcPr>
            <w:tcW w:type="dxa" w:w="3600"/>
          </w:tcPr>
          <w:p>
            <w:r/>
            <w:r>
              <w:rPr>
                <w:sz w:val="18"/>
              </w:rPr>
              <w:t>Table.NestedJoin / Table.ExpandTableColumn</w:t>
            </w:r>
          </w:p>
        </w:tc>
        <w:tc>
          <w:tcPr>
            <w:tcW w:type="dxa" w:w="6192"/>
          </w:tcPr>
          <w:p>
            <w:r/>
            <w:r>
              <w:rPr>
                <w:sz w:val="18"/>
              </w:rPr>
              <w:t>Merges a dimension onto the fact and expands only the key column back out.</w:t>
            </w:r>
          </w:p>
        </w:tc>
      </w:tr>
      <w:tr>
        <w:tc>
          <w:tcPr>
            <w:tcW w:type="dxa" w:w="3600"/>
          </w:tcPr>
          <w:p>
            <w:r/>
            <w:r>
              <w:rPr>
                <w:sz w:val="18"/>
              </w:rPr>
              <w:t>Table.FromList / List.Transform</w:t>
            </w:r>
          </w:p>
        </w:tc>
        <w:tc>
          <w:tcPr>
            <w:tcW w:type="dxa" w:w="6192"/>
          </w:tcPr>
          <w:p>
            <w:r/>
            <w:r>
              <w:rPr>
                <w:sz w:val="18"/>
              </w:rPr>
              <w:t>Builds a table in memory from a generated list — used for the what-if scenario steps.</w:t>
            </w:r>
          </w:p>
        </w:tc>
      </w:tr>
    </w:tbl>
    <w:p>
      <w:pPr>
        <w:spacing w:after="80"/>
      </w:pPr>
    </w:p>
    <w:p>
      <w:pPr>
        <w:pStyle w:val="Heading2"/>
      </w:pPr>
      <w:r>
        <w:t>1.2 DataFile — parameter</w:t>
      </w:r>
    </w:p>
    <w:p>
      <w:pPr>
        <w:spacing w:after="120"/>
      </w:pPr>
      <w:r>
        <w:rPr>
          <w:b w:val="0"/>
          <w:i w:val="0"/>
          <w:sz w:val="21"/>
        </w:rPr>
        <w:t>A text parameter holding the path of the source workbook. Keeping the path in a parameter means the file can be moved or pointed at a refreshed extract by editing one value in Manage Parameters, instead of editing every query.</w:t>
      </w:r>
    </w:p>
    <w:p>
      <w:pPr>
        <w:spacing w:before="60" w:after="120"/>
        <w:ind w:left="230"/>
        <w:shd w:val="clear" w:fill="F2F5F9"/>
      </w:pPr>
      <w:r>
        <w:rPr>
          <w:rFonts w:ascii="Consolas" w:hAnsi="Consolas"/>
          <w:color w:val="1A3046"/>
          <w:sz w:val="17"/>
        </w:rPr>
        <w:t>"C:\Users\core2duo\Downloads\TP_Assessment_Solution\2_HR_Attrition_Case_Study\data\HR_Attrition_CaseStudy_Source.xlsx" meta [IsParameterQuery=true, Type="Text", IsParameterQueryRequired=true]</w:t>
      </w:r>
    </w:p>
    <w:p>
      <w:pPr>
        <w:pStyle w:val="Heading2"/>
      </w:pPr>
      <w:r>
        <w:t>1.3 Employees_Raw — the single cleaned source</w:t>
      </w:r>
    </w:p>
    <w:p>
      <w:pPr>
        <w:spacing w:after="120"/>
      </w:pPr>
      <w:r>
        <w:rPr>
          <w:b w:val="0"/>
          <w:i w:val="0"/>
          <w:sz w:val="21"/>
        </w:rPr>
        <w:t>Load once, clean once. This query is set to Enable load = off: it is a staging query that feeds the others and is not itself a table in the model.</w:t>
      </w:r>
    </w:p>
    <w:p>
      <w:pPr>
        <w:spacing w:before="60" w:after="120"/>
        <w:ind w:left="230"/>
        <w:shd w:val="clear" w:fill="F2F5F9"/>
      </w:pPr>
      <w:r>
        <w:rPr>
          <w:rFonts w:ascii="Consolas" w:hAnsi="Consolas"/>
          <w:color w:val="1A3046"/>
          <w:sz w:val="14"/>
        </w:rPr>
        <w:t>let</w:t>
        <w:br/>
        <w:t xml:space="preserve">    Source = Excel.Workbook(File.Contents(DataFile), null, true),</w:t>
        <w:br/>
        <w:t xml:space="preserve">    Sheet = Source{[Item="WA_Fn-UseC_-HR-Employee-Attriti", Kind="Sheet"]}[Data],</w:t>
        <w:br/>
        <w:t xml:space="preserve">    PromotedHeaders = Table.PromoteHeaders(Sheet, [PromoteAllScalars=true]),</w:t>
        <w:br/>
        <w:t xml:space="preserve">    ChangedTypes = Table.TransformColumnTypes(PromotedHeaders, {{"Age", Int64.Type}, {"Attrition", type text}, {"BusinessTravel", type text}, {"DailyRate", Int64.Type}, {"Department", type text}, {"DistanceFromHome", Int64.Type}, {"Education", Int64.Type}, {"EducationField", type text}, {"EmployeeCount", Int64.Type}, {"EmployeeNumber", Int64.Type}, {"EnvironmentSatisfaction", Int64.Type}, {"Gender", type text}, {"HourlyRate", Int64.Type}, {"JobInvolvement", Int64.Type}, {"JobLevel", Int64.Type}, {"JobRole", type text}, {"JobSatisfaction", Int64.Type}, {"MaritalStatus", type text}, {"MonthlyIncome", Int64.Type}, {"MonthlyRate", Int64.Type}, {"NumCompaniesWorked", Int64.Type}, {"Over18", type text}, {"OverTime", type text}, {"PercentSalaryHike", Int64.Type}, {"PerformanceRating", Int64.Type}, {"RelationshipSatisfaction", Int64.Type}, {"StandardHours", Int64.Type}, {"StockOptionLevel", Int64.Type}, {"TotalWorkingYears", Int64.Type}, {"TrainingTimesLastYear", Int64.Type}, {"WorkLifeBalance", Int64.Type}, {"YearsAtCompany", Int64.Type}, {"YearsInCurrentRole", Int64.Type}, {"YearsSinceLastPromotion", Int64.Type}, {"YearsWithCurrManager", Int64.Type}}),</w:t>
        <w:br/>
        <w:t xml:space="preserve">    RemovedConstantColumns = Table.RemoveColumns(ChangedTypes, {"EmployeeCount", "Over18", "StandardHours"})</w:t>
        <w:br/>
        <w:t>in</w:t>
        <w:br/>
        <w:t xml:space="preserve">    RemovedConstantColumns</w:t>
      </w:r>
    </w:p>
    <w:p>
      <w:pPr>
        <w:spacing w:after="80"/>
      </w:pPr>
      <w:r>
        <w:rPr>
          <w:b/>
          <w:i w:val="0"/>
          <w:sz w:val="21"/>
        </w:rPr>
        <w:t>Steps</w:t>
      </w:r>
    </w:p>
    <w:tbl>
      <w:tblPr>
        <w:tblStyle w:val="LightGrid-Accent1"/>
        <w:tblW w:type="auto" w:w="0"/>
        <w:jc w:val="center"/>
        <w:tblLook w:firstColumn="1" w:firstRow="1" w:lastColumn="0" w:lastRow="0" w:noHBand="0" w:noVBand="1" w:val="04A0"/>
      </w:tblPr>
      <w:tblGrid>
        <w:gridCol w:w="4896"/>
        <w:gridCol w:w="4896"/>
      </w:tblGrid>
      <w:tr>
        <w:tc>
          <w:tcPr>
            <w:tcW w:type="dxa" w:w="2448"/>
          </w:tcPr>
          <w:p>
            <w:r/>
            <w:r>
              <w:rPr>
                <w:b/>
                <w:sz w:val="19"/>
              </w:rPr>
              <w:t>Step</w:t>
            </w:r>
          </w:p>
        </w:tc>
        <w:tc>
          <w:tcPr>
            <w:tcW w:type="dxa" w:w="7344"/>
          </w:tcPr>
          <w:p>
            <w:r/>
            <w:r>
              <w:rPr>
                <w:b/>
                <w:sz w:val="19"/>
              </w:rPr>
              <w:t>Purpose</w:t>
            </w:r>
          </w:p>
        </w:tc>
      </w:tr>
      <w:tr>
        <w:tc>
          <w:tcPr>
            <w:tcW w:type="dxa" w:w="2448"/>
          </w:tcPr>
          <w:p>
            <w:r/>
            <w:r>
              <w:rPr>
                <w:sz w:val="18"/>
              </w:rPr>
              <w:t>Source</w:t>
            </w:r>
          </w:p>
        </w:tc>
        <w:tc>
          <w:tcPr>
            <w:tcW w:type="dxa" w:w="7344"/>
          </w:tcPr>
          <w:p>
            <w:r/>
            <w:r>
              <w:rPr>
                <w:sz w:val="18"/>
              </w:rPr>
              <w:t>Opens the workbook from the DataFile parameter.</w:t>
            </w:r>
          </w:p>
        </w:tc>
      </w:tr>
      <w:tr>
        <w:tc>
          <w:tcPr>
            <w:tcW w:type="dxa" w:w="2448"/>
          </w:tcPr>
          <w:p>
            <w:r/>
            <w:r>
              <w:rPr>
                <w:sz w:val="18"/>
              </w:rPr>
              <w:t>Sheet</w:t>
            </w:r>
          </w:p>
        </w:tc>
        <w:tc>
          <w:tcPr>
            <w:tcW w:type="dxa" w:w="7344"/>
          </w:tcPr>
          <w:p>
            <w:r/>
            <w:r>
              <w:rPr>
                <w:sz w:val="18"/>
              </w:rPr>
              <w:t>Navigates to the sheet WA_Fn-UseC_-HR-Employee-Attriti.</w:t>
            </w:r>
          </w:p>
        </w:tc>
      </w:tr>
      <w:tr>
        <w:tc>
          <w:tcPr>
            <w:tcW w:type="dxa" w:w="2448"/>
          </w:tcPr>
          <w:p>
            <w:r/>
            <w:r>
              <w:rPr>
                <w:sz w:val="18"/>
              </w:rPr>
              <w:t>PromotedHeaders</w:t>
            </w:r>
          </w:p>
        </w:tc>
        <w:tc>
          <w:tcPr>
            <w:tcW w:type="dxa" w:w="7344"/>
          </w:tcPr>
          <w:p>
            <w:r/>
            <w:r>
              <w:rPr>
                <w:sz w:val="18"/>
              </w:rPr>
              <w:t>First row becomes the column names.</w:t>
            </w:r>
          </w:p>
        </w:tc>
      </w:tr>
      <w:tr>
        <w:tc>
          <w:tcPr>
            <w:tcW w:type="dxa" w:w="2448"/>
          </w:tcPr>
          <w:p>
            <w:r/>
            <w:r>
              <w:rPr>
                <w:sz w:val="18"/>
              </w:rPr>
              <w:t>ChangedTypes</w:t>
            </w:r>
          </w:p>
        </w:tc>
        <w:tc>
          <w:tcPr>
            <w:tcW w:type="dxa" w:w="7344"/>
          </w:tcPr>
          <w:p>
            <w:r/>
            <w:r>
              <w:rPr>
                <w:sz w:val="18"/>
              </w:rPr>
              <w:t>Explicit type for all 35 columns: text for the categorical fields (Attrition, Department, JobRole, Gender, MaritalStatus, OverTime, BusinessTravel, EducationField, Over18) and Int64 for everything else.</w:t>
            </w:r>
          </w:p>
        </w:tc>
      </w:tr>
      <w:tr>
        <w:tc>
          <w:tcPr>
            <w:tcW w:type="dxa" w:w="2448"/>
          </w:tcPr>
          <w:p>
            <w:r/>
            <w:r>
              <w:rPr>
                <w:sz w:val="18"/>
              </w:rPr>
              <w:t>RemovedConstantColumns</w:t>
            </w:r>
          </w:p>
        </w:tc>
        <w:tc>
          <w:tcPr>
            <w:tcW w:type="dxa" w:w="7344"/>
          </w:tcPr>
          <w:p>
            <w:r/>
            <w:r>
              <w:rPr>
                <w:sz w:val="18"/>
              </w:rPr>
              <w:t>Drops EmployeeCount (always 1), Over18 (always 'Y') and StandardHours (always 80). A column with one distinct value cannot explain anything and only costs memory.</w:t>
            </w:r>
          </w:p>
        </w:tc>
      </w:tr>
    </w:tbl>
    <w:p>
      <w:pPr>
        <w:spacing w:after="80"/>
      </w:pPr>
    </w:p>
    <w:p>
      <w:pPr>
        <w:pStyle w:val="Heading2"/>
      </w:pPr>
      <w:r>
        <w:t>1.4 The five dimensions — one recipe</w:t>
      </w:r>
    </w:p>
    <w:p>
      <w:pPr>
        <w:spacing w:after="120"/>
      </w:pPr>
      <w:r>
        <w:rPr>
          <w:b w:val="0"/>
          <w:i w:val="0"/>
          <w:sz w:val="21"/>
        </w:rPr>
        <w:t>Every dimension is a Reference of Employees_Raw (not a Duplicate). Reference points at the existing query, so a change to the cleaning logic flows to all five automatically; Duplicate would have created five independent copies of the same steps.</w:t>
      </w:r>
    </w:p>
    <w:p>
      <w:pPr>
        <w:spacing w:after="160"/>
      </w:pPr>
      <w:r>
        <w:rPr>
          <w:b w:val="0"/>
          <w:i w:val="0"/>
          <w:sz w:val="21"/>
        </w:rPr>
        <w:t>The recipe is: keep the attribute column(s) → remove duplicates → sort → add an index. The index is the surrogate key the fact table joins on.</w:t>
      </w:r>
    </w:p>
    <w:p>
      <w:pPr>
        <w:pStyle w:val="Heading3"/>
      </w:pPr>
      <w:r>
        <w:t>DimDemographics</w:t>
      </w:r>
    </w:p>
    <w:p>
      <w:pPr>
        <w:spacing w:after="80"/>
      </w:pPr>
      <w:r>
        <w:rPr>
          <w:b w:val="0"/>
          <w:i w:val="0"/>
          <w:sz w:val="20"/>
        </w:rPr>
        <w:t>30 rows. AgeBand is derived first (18-25 / 26-35 / 36-45 / 46-55 / 56-60), then Gender × MaritalStatus × AgeBand is de-duplicated into a single demographic dimension rather than three separate ones.</w:t>
      </w:r>
    </w:p>
    <w:p>
      <w:pPr>
        <w:spacing w:before="60" w:after="120"/>
        <w:ind w:left="230"/>
        <w:shd w:val="clear" w:fill="F2F5F9"/>
      </w:pPr>
      <w:r>
        <w:rPr>
          <w:rFonts w:ascii="Consolas" w:hAnsi="Consolas"/>
          <w:color w:val="1A3046"/>
          <w:sz w:val="15"/>
        </w:rPr>
        <w:t>let</w:t>
        <w:br/>
        <w:t xml:space="preserve">    Source = Employees_Raw,</w:t>
        <w:br/>
        <w:t xml:space="preserve">    AddedAgeBand = Table.AddColumn(Source, "AgeBand", each if [Age] &lt;= 25 then "18-25" else if [Age] &lt;= 35 then "26-35" else if [Age] &lt;= 45 then "36-45" else if [Age] &lt;= 55 then "46-55" else "56-60", type text),</w:t>
        <w:br/>
        <w:t xml:space="preserve">    KeptColumns = Table.SelectColumns(AddedAgeBand, {"Gender", "MaritalStatus", "AgeBand"}),</w:t>
        <w:br/>
        <w:t xml:space="preserve">    RemovedDuplicates = Table.Distinct(KeptColumns),</w:t>
        <w:br/>
        <w:t xml:space="preserve">    Sorted = Table.Sort(RemovedDuplicates, {{"Gender", Order.Ascending}, {"MaritalStatus", Order.Ascending}, {"AgeBand", Order.Ascending}}),</w:t>
        <w:br/>
        <w:t xml:space="preserve">    AddedKey = Table.AddIndexColumn(Sorted, "DemographicsKey", 1, 1, Int64.Type)</w:t>
        <w:br/>
        <w:t>in</w:t>
        <w:br/>
        <w:t xml:space="preserve">    AddedKey</w:t>
      </w:r>
    </w:p>
    <w:p>
      <w:pPr>
        <w:spacing w:after="60"/>
        <w:ind w:left="230"/>
      </w:pPr>
      <w:r>
        <w:rPr>
          <w:b/>
          <w:color w:val="006B33"/>
          <w:sz w:val="20"/>
        </w:rPr>
        <w:t xml:space="preserve">Columns:  </w:t>
      </w:r>
      <w:r>
        <w:rPr>
          <w:sz w:val="20"/>
        </w:rPr>
        <w:t>Gender (string), MaritalStatus (string), AgeBand (string), DemographicsKey (int64) — hidden</w:t>
      </w:r>
    </w:p>
    <w:p>
      <w:pPr>
        <w:spacing w:after="40"/>
      </w:pPr>
    </w:p>
    <w:p>
      <w:pPr>
        <w:pStyle w:val="Heading3"/>
      </w:pPr>
      <w:r>
        <w:t>DimDepartment</w:t>
      </w:r>
    </w:p>
    <w:p>
      <w:pPr>
        <w:spacing w:after="80"/>
      </w:pPr>
      <w:r>
        <w:rPr>
          <w:b w:val="0"/>
          <w:i w:val="0"/>
          <w:sz w:val="20"/>
        </w:rPr>
        <w:t>3 rows. Straight recipe on Department.</w:t>
      </w:r>
    </w:p>
    <w:p>
      <w:pPr>
        <w:spacing w:before="60" w:after="120"/>
        <w:ind w:left="230"/>
        <w:shd w:val="clear" w:fill="F2F5F9"/>
      </w:pPr>
      <w:r>
        <w:rPr>
          <w:rFonts w:ascii="Consolas" w:hAnsi="Consolas"/>
          <w:color w:val="1A3046"/>
          <w:sz w:val="15"/>
        </w:rPr>
        <w:t>let</w:t>
        <w:br/>
        <w:t xml:space="preserve">    Source = Employees_Raw,</w:t>
        <w:br/>
        <w:t xml:space="preserve">    KeptColumns = Table.SelectColumns(Source, {"Department"}),</w:t>
        <w:br/>
        <w:t xml:space="preserve">    RemovedDuplicates = Table.Distinct(KeptColumns),</w:t>
        <w:br/>
        <w:t xml:space="preserve">    Sorted = Table.Sort(RemovedDuplicates, {{"Department", Order.Ascending}}),</w:t>
        <w:br/>
        <w:t xml:space="preserve">    AddedKey = Table.AddIndexColumn(Sorted, "DepartmentKey", 1, 1, Int64.Type)</w:t>
        <w:br/>
        <w:t>in</w:t>
        <w:br/>
        <w:t xml:space="preserve">    AddedKey</w:t>
      </w:r>
    </w:p>
    <w:p>
      <w:pPr>
        <w:spacing w:after="60"/>
        <w:ind w:left="230"/>
      </w:pPr>
      <w:r>
        <w:rPr>
          <w:b/>
          <w:color w:val="006B33"/>
          <w:sz w:val="20"/>
        </w:rPr>
        <w:t xml:space="preserve">Columns:  </w:t>
      </w:r>
      <w:r>
        <w:rPr>
          <w:sz w:val="20"/>
        </w:rPr>
        <w:t>Department (string), DepartmentKey (int64) — hidden</w:t>
      </w:r>
    </w:p>
    <w:p>
      <w:pPr>
        <w:spacing w:after="40"/>
      </w:pPr>
    </w:p>
    <w:p>
      <w:pPr>
        <w:pStyle w:val="Heading3"/>
      </w:pPr>
      <w:r>
        <w:t>DimEducation</w:t>
      </w:r>
    </w:p>
    <w:p>
      <w:pPr>
        <w:spacing w:after="80"/>
      </w:pPr>
      <w:r>
        <w:rPr>
          <w:b w:val="0"/>
          <w:i w:val="0"/>
          <w:sz w:val="20"/>
        </w:rPr>
        <w:t>30 rows. Education is stored as a code 1-5, so an extra step adds EducationLabel (Below College / College / Bachelor / Master / Doctor) before the key is created — the report shows the label, never the raw code.</w:t>
      </w:r>
    </w:p>
    <w:p>
      <w:pPr>
        <w:spacing w:before="60" w:after="120"/>
        <w:ind w:left="230"/>
        <w:shd w:val="clear" w:fill="F2F5F9"/>
      </w:pPr>
      <w:r>
        <w:rPr>
          <w:rFonts w:ascii="Consolas" w:hAnsi="Consolas"/>
          <w:color w:val="1A3046"/>
          <w:sz w:val="15"/>
        </w:rPr>
        <w:t>let</w:t>
        <w:br/>
        <w:t xml:space="preserve">    Source = Employees_Raw,</w:t>
        <w:br/>
        <w:t xml:space="preserve">    KeptColumns = Table.SelectColumns(Source, {"Education", "EducationField"}),</w:t>
        <w:br/>
        <w:t xml:space="preserve">    RemovedDuplicates = Table.Distinct(KeptColumns),</w:t>
        <w:br/>
        <w:t xml:space="preserve">    AddedLabel = Table.AddColumn(RemovedDuplicates, "EducationLabel", each if [Education] = 1 then "Below College" else if [Education] = 2 then "College" else if [Education] = 3 then "Bachelor" else if [Education] = 4 then "Master" else "Doctor", type text),</w:t>
        <w:br/>
        <w:t xml:space="preserve">    Sorted = Table.Sort(AddedLabel, {{"Education", Order.Ascending}, {"EducationField", Order.Ascending}}),</w:t>
        <w:br/>
        <w:t xml:space="preserve">    AddedKey = Table.AddIndexColumn(Sorted, "EducationKey", 1, 1, Int64.Type)</w:t>
        <w:br/>
        <w:t>in</w:t>
        <w:br/>
        <w:t xml:space="preserve">    AddedKey</w:t>
      </w:r>
    </w:p>
    <w:p>
      <w:pPr>
        <w:spacing w:after="60"/>
        <w:ind w:left="230"/>
      </w:pPr>
      <w:r>
        <w:rPr>
          <w:b/>
          <w:color w:val="006B33"/>
          <w:sz w:val="20"/>
        </w:rPr>
        <w:t xml:space="preserve">Columns:  </w:t>
      </w:r>
      <w:r>
        <w:rPr>
          <w:sz w:val="20"/>
        </w:rPr>
        <w:t>Education (int64) — hidden, EducationField (string), EducationLabel (string), EducationKey (int64) — hidden</w:t>
      </w:r>
    </w:p>
    <w:p>
      <w:pPr>
        <w:spacing w:after="40"/>
      </w:pPr>
    </w:p>
    <w:p>
      <w:pPr>
        <w:pStyle w:val="Heading3"/>
      </w:pPr>
      <w:r>
        <w:t>DimJobRole</w:t>
      </w:r>
    </w:p>
    <w:p>
      <w:pPr>
        <w:spacing w:after="80"/>
      </w:pPr>
      <w:r>
        <w:rPr>
          <w:b w:val="0"/>
          <w:i w:val="0"/>
          <w:sz w:val="20"/>
        </w:rPr>
        <w:t>9 rows. Straight recipe on JobRole.</w:t>
      </w:r>
    </w:p>
    <w:p>
      <w:pPr>
        <w:spacing w:before="60" w:after="120"/>
        <w:ind w:left="230"/>
        <w:shd w:val="clear" w:fill="F2F5F9"/>
      </w:pPr>
      <w:r>
        <w:rPr>
          <w:rFonts w:ascii="Consolas" w:hAnsi="Consolas"/>
          <w:color w:val="1A3046"/>
          <w:sz w:val="15"/>
        </w:rPr>
        <w:t>let</w:t>
        <w:br/>
        <w:t xml:space="preserve">    Source = Employees_Raw,</w:t>
        <w:br/>
        <w:t xml:space="preserve">    KeptColumns = Table.SelectColumns(Source, {"JobRole"}),</w:t>
        <w:br/>
        <w:t xml:space="preserve">    RemovedDuplicates = Table.Distinct(KeptColumns),</w:t>
        <w:br/>
        <w:t xml:space="preserve">    Sorted = Table.Sort(RemovedDuplicates, {{"JobRole", Order.Ascending}}),</w:t>
        <w:br/>
        <w:t xml:space="preserve">    AddedKey = Table.AddIndexColumn(Sorted, "JobRoleKey", 1, 1, Int64.Type)</w:t>
        <w:br/>
        <w:t>in</w:t>
        <w:br/>
        <w:t xml:space="preserve">    AddedKey</w:t>
      </w:r>
    </w:p>
    <w:p>
      <w:pPr>
        <w:spacing w:after="60"/>
        <w:ind w:left="230"/>
      </w:pPr>
      <w:r>
        <w:rPr>
          <w:b/>
          <w:color w:val="006B33"/>
          <w:sz w:val="20"/>
        </w:rPr>
        <w:t xml:space="preserve">Columns:  </w:t>
      </w:r>
      <w:r>
        <w:rPr>
          <w:sz w:val="20"/>
        </w:rPr>
        <w:t>JobRole (string), JobRoleKey (int64) — hidden</w:t>
      </w:r>
    </w:p>
    <w:p>
      <w:pPr>
        <w:spacing w:after="40"/>
      </w:pPr>
    </w:p>
    <w:p>
      <w:pPr>
        <w:pStyle w:val="Heading3"/>
      </w:pPr>
      <w:r>
        <w:t>DimTravel</w:t>
      </w:r>
    </w:p>
    <w:p>
      <w:pPr>
        <w:spacing w:after="80"/>
      </w:pPr>
      <w:r>
        <w:rPr>
          <w:b w:val="0"/>
          <w:i w:val="0"/>
          <w:sz w:val="20"/>
        </w:rPr>
        <w:t>3 rows. Straight recipe on BusinessTravel.</w:t>
      </w:r>
    </w:p>
    <w:p>
      <w:pPr>
        <w:spacing w:before="60" w:after="120"/>
        <w:ind w:left="230"/>
        <w:shd w:val="clear" w:fill="F2F5F9"/>
      </w:pPr>
      <w:r>
        <w:rPr>
          <w:rFonts w:ascii="Consolas" w:hAnsi="Consolas"/>
          <w:color w:val="1A3046"/>
          <w:sz w:val="15"/>
        </w:rPr>
        <w:t>let</w:t>
        <w:br/>
        <w:t xml:space="preserve">    Source = Employees_Raw,</w:t>
        <w:br/>
        <w:t xml:space="preserve">    KeptColumns = Table.SelectColumns(Source, {"BusinessTravel"}),</w:t>
        <w:br/>
        <w:t xml:space="preserve">    RemovedDuplicates = Table.Distinct(KeptColumns),</w:t>
        <w:br/>
        <w:t xml:space="preserve">    Sorted = Table.Sort(RemovedDuplicates, {{"BusinessTravel", Order.Ascending}}),</w:t>
        <w:br/>
        <w:t xml:space="preserve">    AddedKey = Table.AddIndexColumn(Sorted, "TravelKey", 1, 1, Int64.Type)</w:t>
        <w:br/>
        <w:t>in</w:t>
        <w:br/>
        <w:t xml:space="preserve">    AddedKey</w:t>
      </w:r>
    </w:p>
    <w:p>
      <w:pPr>
        <w:spacing w:after="60"/>
        <w:ind w:left="230"/>
      </w:pPr>
      <w:r>
        <w:rPr>
          <w:b/>
          <w:color w:val="006B33"/>
          <w:sz w:val="20"/>
        </w:rPr>
        <w:t xml:space="preserve">Columns:  </w:t>
      </w:r>
      <w:r>
        <w:rPr>
          <w:sz w:val="20"/>
        </w:rPr>
        <w:t>BusinessTravel (string), TravelKey (int64) — hidden</w:t>
      </w:r>
    </w:p>
    <w:p>
      <w:pPr>
        <w:spacing w:after="40"/>
      </w:pPr>
    </w:p>
    <w:p>
      <w:pPr>
        <w:pStyle w:val="Heading2"/>
      </w:pPr>
      <w:r>
        <w:t>1.5 FactEmployee — the fact table</w:t>
      </w:r>
    </w:p>
    <w:p>
      <w:pPr>
        <w:spacing w:after="120"/>
      </w:pPr>
      <w:r>
        <w:rPr>
          <w:b w:val="0"/>
          <w:i w:val="0"/>
          <w:sz w:val="21"/>
        </w:rPr>
        <w:t>Grain: one row per employee (1,470 rows). The dataset is a point-in-time snapshot, not a transaction log, so employee is the correct grain. Attrition is the outcome flag on that row.</w:t>
      </w:r>
    </w:p>
    <w:p>
      <w:pPr>
        <w:spacing w:after="120"/>
      </w:pPr>
      <w:r>
        <w:rPr>
          <w:b w:val="0"/>
          <w:i w:val="0"/>
          <w:sz w:val="21"/>
        </w:rPr>
        <w:t>The query adds the banding columns first, then merges each dimension to pick up its key, then drops the descriptive columns that now live in the dimensions.</w:t>
      </w:r>
    </w:p>
    <w:p>
      <w:pPr>
        <w:spacing w:before="60" w:after="120"/>
        <w:ind w:left="230"/>
        <w:shd w:val="clear" w:fill="F2F5F9"/>
      </w:pPr>
      <w:r>
        <w:rPr>
          <w:rFonts w:ascii="Consolas" w:hAnsi="Consolas"/>
          <w:color w:val="1A3046"/>
          <w:sz w:val="13"/>
        </w:rPr>
        <w:t>let</w:t>
        <w:br/>
        <w:t xml:space="preserve">    Source = Employees_Raw,</w:t>
        <w:br/>
        <w:t xml:space="preserve">    AddedAgeBand = Table.AddColumn(Source, "AgeBand", each if [Age] &lt;= 25 then "18-25" else if [Age] &lt;= 35 then "26-35" else if [Age] &lt;= 45 then "36-45" else if [Age] &lt;= 55 then "46-55" else "56-60", type text),</w:t>
        <w:br/>
        <w:t xml:space="preserve">    AddedExperience = Table.AddColumn(AddedAgeBand, "ExperienceLevel", each if [TotalWorkingYears] &lt; 5 then "Junior (&lt;5)" else if [TotalWorkingYears] &lt;= 9 then "Mid (5-9)" else "Senior (10+)", type text),</w:t>
        <w:br/>
        <w:t xml:space="preserve">    AddedIncomeBand = Table.AddColumn(AddedExperience, "IncomeBand", each if [MonthlyIncome] &lt; 2500 then "&lt;2.5K" else if [MonthlyIncome] &lt; 5000 then "2.5-5K" else if [MonthlyIncome] &lt; 7500 then "5-7.5K" else if [MonthlyIncome] &lt; 10000 then "7.5-10K" else if [MonthlyIncome] &lt; 15000 then "10-15K" else "15-20K", type text),</w:t>
        <w:br/>
        <w:t xml:space="preserve">    AddedIncomeSort = Table.AddColumn(AddedIncomeBand, "IncomeBandSort", each if [MonthlyIncome] &lt; 2500 then 1 else if [MonthlyIncome] &lt; 5000 then 2 else if [MonthlyIncome] &lt; 7500 then 3 else if [MonthlyIncome] &lt; 10000 then 4 else if [MonthlyIncome] &lt; 15000 then 5 else 6, Int64.Type),</w:t>
        <w:br/>
        <w:t xml:space="preserve">    AddedTenureBand = Table.AddColumn(AddedIncomeSort, "TenureBand", each if [YearsAtCompany] &lt;= 1 then "0-1" else if [YearsAtCompany] &lt;= 3 then "2-3" else if [YearsAtCompany] &lt;= 5 then "4-5" else if [YearsAtCompany] &lt;= 10 then "6-10" else if [YearsAtCompany] &lt;= 20 then "11-20" else "21+", type text),</w:t>
        <w:br/>
        <w:t xml:space="preserve">    AddedTenureSort = Table.AddColumn(AddedTenureBand, "TenureBandSort", each if [YearsAtCompany] &lt;= 1 then 1 else if [YearsAtCompany] &lt;= 3 then 2 else if [YearsAtCompany] &lt;= 5 then 3 else if [YearsAtCompany] &lt;= 10 then 4 else if [YearsAtCompany] &lt;= 20 then 5 else 6, Int64.Type),</w:t>
        <w:br/>
        <w:t xml:space="preserve">    JoinedDept = Table.NestedJoin(AddedTenureSort, {"Department"}, DimDepartment, {"Department"}, "jDept", JoinKind.LeftOuter),</w:t>
        <w:br/>
        <w:t xml:space="preserve">    ExpandedDept = Table.ExpandTableColumn(JoinedDept, "jDept", {"DepartmentKey"}),</w:t>
        <w:br/>
        <w:t xml:space="preserve">    JoinedRole = Table.NestedJoin(ExpandedDept, {"JobRole"}, DimJobRole, {"JobRole"}, "jRole", JoinKind.LeftOuter),</w:t>
        <w:br/>
        <w:t xml:space="preserve">    ExpandedRole = Table.ExpandTableColumn(JoinedRole, "jRole", {"JobRoleKey"}),</w:t>
        <w:br/>
        <w:t xml:space="preserve">    JoinedEdu = Table.NestedJoin(ExpandedRole, {"Education", "EducationField"}, DimEducation, {"Education", "EducationField"}, "jEdu", JoinKind.LeftOuter),</w:t>
        <w:br/>
        <w:t xml:space="preserve">    ExpandedEdu = Table.ExpandTableColumn(JoinedEdu, "jEdu", {"EducationKey"}),</w:t>
        <w:br/>
        <w:t xml:space="preserve">    JoinedDemo = Table.NestedJoin(ExpandedEdu, {"Gender", "MaritalStatus", "AgeBand"}, DimDemographics, {"Gender", "MaritalStatus", "AgeBand"}, "jDemo", JoinKind.LeftOuter),</w:t>
        <w:br/>
        <w:t xml:space="preserve">    ExpandedDemo = Table.ExpandTableColumn(JoinedDemo, "jDemo", {"DemographicsKey"}),</w:t>
        <w:br/>
        <w:t xml:space="preserve">    JoinedTravel = Table.NestedJoin(ExpandedDemo, {"BusinessTravel"}, DimTravel, {"BusinessTravel"}, "jTrav", JoinKind.LeftOuter),</w:t>
        <w:br/>
        <w:t xml:space="preserve">    ExpandedTravel = Table.ExpandTableColumn(JoinedTravel, "jTrav", {"TravelKey"}),</w:t>
        <w:br/>
        <w:t xml:space="preserve">    KeptColumns = Table.SelectColumns(ExpandedTravel, {"EmployeeNumber", "DepartmentKey", "JobRoleKey", "EducationKey", "DemographicsKey", "TravelKey", "Attrition", "OverTime", "Age", "MonthlyIncome", "MonthlyRate", "DailyRate", "HourlyRate", "PercentSalaryHike", "DistanceFromHome", "TotalWorkingYears", "YearsAtCompany", "YearsInCurrentRole", "YearsSinceLastPromotion", "YearsWithCurrManager", "NumCompaniesWorked", "TrainingTimesLastYear", "JobLevel", "JobInvolvement", "JobSatisfaction", "EnvironmentSatisfaction", "RelationshipSatisfaction", "WorkLifeBalance", "PerformanceRating", "StockOptionLevel", "ExperienceLevel", "IncomeBand", "IncomeBandSort", "TenureBand", "TenureBandSort"}),</w:t>
        <w:br/>
        <w:t xml:space="preserve">    Typed = Table.TransformColumnTypes(KeptColumns, {{"DepartmentKey", Int64.Type}, {"JobRoleKey", Int64.Type}, {"EducationKey", Int64.Type}, {"DemographicsKey", Int64.Type}, {"TravelKey", Int64.Type}})</w:t>
        <w:br/>
        <w:t>in</w:t>
        <w:br/>
        <w:t xml:space="preserve">    Typed</w:t>
      </w:r>
    </w:p>
    <w:p>
      <w:pPr>
        <w:pStyle w:val="Heading3"/>
      </w:pPr>
      <w:r>
        <w:t>Calculated columns added in this query</w:t>
      </w:r>
    </w:p>
    <w:tbl>
      <w:tblPr>
        <w:tblStyle w:val="LightGrid-Accent1"/>
        <w:tblW w:type="auto" w:w="0"/>
        <w:jc w:val="center"/>
        <w:tblLook w:firstColumn="1" w:firstRow="1" w:lastColumn="0" w:lastRow="0" w:noHBand="0" w:noVBand="1" w:val="04A0"/>
      </w:tblPr>
      <w:tblGrid>
        <w:gridCol w:w="3264"/>
        <w:gridCol w:w="3264"/>
        <w:gridCol w:w="3264"/>
      </w:tblGrid>
      <w:tr>
        <w:tc>
          <w:tcPr>
            <w:tcW w:type="dxa" w:w="1872"/>
          </w:tcPr>
          <w:p>
            <w:r/>
            <w:r>
              <w:rPr>
                <w:b/>
                <w:sz w:val="19"/>
              </w:rPr>
              <w:t>Column</w:t>
            </w:r>
          </w:p>
        </w:tc>
        <w:tc>
          <w:tcPr>
            <w:tcW w:type="dxa" w:w="3456"/>
          </w:tcPr>
          <w:p>
            <w:r/>
            <w:r>
              <w:rPr>
                <w:b/>
                <w:sz w:val="19"/>
              </w:rPr>
              <w:t>Rule</w:t>
            </w:r>
          </w:p>
        </w:tc>
        <w:tc>
          <w:tcPr>
            <w:tcW w:type="dxa" w:w="4464"/>
          </w:tcPr>
          <w:p>
            <w:r/>
            <w:r>
              <w:rPr>
                <w:b/>
                <w:sz w:val="19"/>
              </w:rPr>
              <w:t>Why it exists</w:t>
            </w:r>
          </w:p>
        </w:tc>
      </w:tr>
      <w:tr>
        <w:tc>
          <w:tcPr>
            <w:tcW w:type="dxa" w:w="1872"/>
          </w:tcPr>
          <w:p>
            <w:r/>
            <w:r>
              <w:rPr>
                <w:sz w:val="18"/>
              </w:rPr>
              <w:t>AgeBand</w:t>
            </w:r>
          </w:p>
        </w:tc>
        <w:tc>
          <w:tcPr>
            <w:tcW w:type="dxa" w:w="3456"/>
          </w:tcPr>
          <w:p>
            <w:r/>
            <w:r>
              <w:rPr>
                <w:sz w:val="18"/>
              </w:rPr>
              <w:t>≤25 / ≤35 / ≤45 / ≤55 / else</w:t>
            </w:r>
          </w:p>
        </w:tc>
        <w:tc>
          <w:tcPr>
            <w:tcW w:type="dxa" w:w="4464"/>
          </w:tcPr>
          <w:p>
            <w:r/>
            <w:r>
              <w:rPr>
                <w:sz w:val="18"/>
              </w:rPr>
              <w:t>Needed to merge onto DimDemographics; also a slicer.</w:t>
            </w:r>
          </w:p>
        </w:tc>
      </w:tr>
      <w:tr>
        <w:tc>
          <w:tcPr>
            <w:tcW w:type="dxa" w:w="1872"/>
          </w:tcPr>
          <w:p>
            <w:r/>
            <w:r>
              <w:rPr>
                <w:sz w:val="18"/>
              </w:rPr>
              <w:t>ExperienceLevel</w:t>
            </w:r>
          </w:p>
        </w:tc>
        <w:tc>
          <w:tcPr>
            <w:tcW w:type="dxa" w:w="3456"/>
          </w:tcPr>
          <w:p>
            <w:r/>
            <w:r>
              <w:rPr>
                <w:sz w:val="18"/>
              </w:rPr>
              <w:t>TotalWorkingYears &lt;5 Junior · ≤9 Mid · else Senior</w:t>
            </w:r>
          </w:p>
        </w:tc>
        <w:tc>
          <w:tcPr>
            <w:tcW w:type="dxa" w:w="4464"/>
          </w:tcPr>
          <w:p>
            <w:r/>
            <w:r>
              <w:rPr>
                <w:sz w:val="18"/>
              </w:rPr>
              <w:t>Matches the Python task classification exactly, so the two deliverables agree.</w:t>
            </w:r>
          </w:p>
        </w:tc>
      </w:tr>
      <w:tr>
        <w:tc>
          <w:tcPr>
            <w:tcW w:type="dxa" w:w="1872"/>
          </w:tcPr>
          <w:p>
            <w:r/>
            <w:r>
              <w:rPr>
                <w:sz w:val="18"/>
              </w:rPr>
              <w:t>IncomeBand</w:t>
            </w:r>
          </w:p>
        </w:tc>
        <w:tc>
          <w:tcPr>
            <w:tcW w:type="dxa" w:w="3456"/>
          </w:tcPr>
          <w:p>
            <w:r/>
            <w:r>
              <w:rPr>
                <w:sz w:val="18"/>
              </w:rPr>
              <w:t>&lt;2.5K / 2.5-5K / 5-7.5K / 7.5-10K / 10-15K / 15-20K</w:t>
            </w:r>
          </w:p>
        </w:tc>
        <w:tc>
          <w:tcPr>
            <w:tcW w:type="dxa" w:w="4464"/>
          </w:tcPr>
          <w:p>
            <w:r/>
            <w:r>
              <w:rPr>
                <w:sz w:val="18"/>
              </w:rPr>
              <w:t>Turns a continuous salary into an axis a stakeholder can read.</w:t>
            </w:r>
          </w:p>
        </w:tc>
      </w:tr>
      <w:tr>
        <w:tc>
          <w:tcPr>
            <w:tcW w:type="dxa" w:w="1872"/>
          </w:tcPr>
          <w:p>
            <w:r/>
            <w:r>
              <w:rPr>
                <w:sz w:val="18"/>
              </w:rPr>
              <w:t>IncomeBandSort</w:t>
            </w:r>
          </w:p>
        </w:tc>
        <w:tc>
          <w:tcPr>
            <w:tcW w:type="dxa" w:w="3456"/>
          </w:tcPr>
          <w:p>
            <w:r/>
            <w:r>
              <w:rPr>
                <w:sz w:val="18"/>
              </w:rPr>
              <w:t>1-6 on the same thresholds</w:t>
            </w:r>
          </w:p>
        </w:tc>
        <w:tc>
          <w:tcPr>
            <w:tcW w:type="dxa" w:w="4464"/>
          </w:tcPr>
          <w:p>
            <w:r/>
            <w:r>
              <w:rPr>
                <w:sz w:val="18"/>
              </w:rPr>
              <w:t>Sort-by column; without it the bands would order alphabetically.</w:t>
            </w:r>
          </w:p>
        </w:tc>
      </w:tr>
      <w:tr>
        <w:tc>
          <w:tcPr>
            <w:tcW w:type="dxa" w:w="1872"/>
          </w:tcPr>
          <w:p>
            <w:r/>
            <w:r>
              <w:rPr>
                <w:sz w:val="18"/>
              </w:rPr>
              <w:t>TenureBand</w:t>
            </w:r>
          </w:p>
        </w:tc>
        <w:tc>
          <w:tcPr>
            <w:tcW w:type="dxa" w:w="3456"/>
          </w:tcPr>
          <w:p>
            <w:r/>
            <w:r>
              <w:rPr>
                <w:sz w:val="18"/>
              </w:rPr>
              <w:t>YearsAtCompany 0-1 / 2-3 / 4-5 / 6-10 / 11-20 / 21+</w:t>
            </w:r>
          </w:p>
        </w:tc>
        <w:tc>
          <w:tcPr>
            <w:tcW w:type="dxa" w:w="4464"/>
          </w:tcPr>
          <w:p>
            <w:r/>
            <w:r>
              <w:rPr>
                <w:sz w:val="18"/>
              </w:rPr>
              <w:t>Exposes the first-year cliff, which a raw year axis hides.</w:t>
            </w:r>
          </w:p>
        </w:tc>
      </w:tr>
      <w:tr>
        <w:tc>
          <w:tcPr>
            <w:tcW w:type="dxa" w:w="1872"/>
          </w:tcPr>
          <w:p>
            <w:r/>
            <w:r>
              <w:rPr>
                <w:sz w:val="18"/>
              </w:rPr>
              <w:t>TenureBandSort</w:t>
            </w:r>
          </w:p>
        </w:tc>
        <w:tc>
          <w:tcPr>
            <w:tcW w:type="dxa" w:w="3456"/>
          </w:tcPr>
          <w:p>
            <w:r/>
            <w:r>
              <w:rPr>
                <w:sz w:val="18"/>
              </w:rPr>
              <w:t>1-6 on the same thresholds</w:t>
            </w:r>
          </w:p>
        </w:tc>
        <w:tc>
          <w:tcPr>
            <w:tcW w:type="dxa" w:w="4464"/>
          </w:tcPr>
          <w:p>
            <w:r/>
            <w:r>
              <w:rPr>
                <w:sz w:val="18"/>
              </w:rPr>
              <w:t>Sort-by column for TenureBand.</w:t>
            </w:r>
          </w:p>
        </w:tc>
      </w:tr>
    </w:tbl>
    <w:p>
      <w:pPr>
        <w:spacing w:after="80"/>
      </w:pPr>
    </w:p>
    <w:p>
      <w:pPr>
        <w:spacing w:after="120"/>
      </w:pPr>
      <w:r>
        <w:rPr>
          <w:b w:val="0"/>
          <w:i w:val="0"/>
          <w:sz w:val="21"/>
        </w:rPr>
        <w:t>Merge steps: Department, JobRole, BusinessTravel are single-column joins; Education joins on Education + EducationField; Demographics joins on Gender + MaritalStatus + AgeBand. Each merge is a Left Outer join and only the key column is expanded, so no descriptive text is duplicated into the fact.</w:t>
      </w:r>
    </w:p>
    <w:p>
      <w:pPr>
        <w:spacing w:after="160"/>
      </w:pPr>
      <w:r>
        <w:rPr>
          <w:b w:val="0"/>
          <w:i/>
          <w:sz w:val="20"/>
        </w:rPr>
        <w:t>Data-quality check: after loading, none of the five key columns contains a blank. A blank key would mean a fact row failed to match its dimension.</w:t>
      </w:r>
    </w:p>
    <w:p>
      <w:pPr>
        <w:spacing w:after="60"/>
        <w:ind w:left="230"/>
      </w:pPr>
      <w:r>
        <w:rPr>
          <w:b/>
          <w:color w:val="006B33"/>
          <w:sz w:val="20"/>
        </w:rPr>
        <w:t xml:space="preserve">Columns kept:  </w:t>
      </w:r>
      <w:r>
        <w:rPr>
          <w:sz w:val="20"/>
        </w:rPr>
        <w:t>EmployeeNumber, DepartmentKey, JobRoleKey, EducationKey, DemographicsKey, TravelKey, Attrition, OverTime, Age, MonthlyIncome, MonthlyRate, DailyRate, HourlyRate, PercentSalaryHike, DistanceFromHome, TotalWorkingYears, YearsAtCompany, YearsInCurrentRole, YearsSinceLastPromotion, YearsWithCurrManager, NumCompaniesWorked, TrainingTimesLastYear, JobLevel, JobInvolvement, JobSatisfaction, EnvironmentSatisfaction, RelationshipSatisfaction, WorkLifeBalance, PerformanceRating, StockOptionLevel, ExperienceLevel, IncomeBand, IncomeBandSort, TenureBand, TenureBandSort</w:t>
      </w:r>
    </w:p>
    <w:p>
      <w:pPr>
        <w:pStyle w:val="Heading2"/>
      </w:pPr>
      <w:r>
        <w:t>1.6 OT Reduction Scenario — what-if input</w:t>
      </w:r>
    </w:p>
    <w:p>
      <w:pPr>
        <w:spacing w:after="120"/>
      </w:pPr>
      <w:r>
        <w:rPr>
          <w:b w:val="0"/>
          <w:i w:val="0"/>
          <w:sz w:val="21"/>
        </w:rPr>
        <w:t>A generated list of 21 steps from 0% to 100% in 5-point increments. It is built in Power Query rather than as a calculated table so it refreshes in the same pass as everything else. It is deliberately left with no relationship to the model — a what-if input must filter nothing; it is read by DAX with SELECTEDVALUE.</w:t>
      </w:r>
    </w:p>
    <w:p>
      <w:pPr>
        <w:spacing w:before="60" w:after="120"/>
        <w:ind w:left="230"/>
        <w:shd w:val="clear" w:fill="F2F5F9"/>
      </w:pPr>
      <w:r>
        <w:rPr>
          <w:rFonts w:ascii="Consolas" w:hAnsi="Consolas"/>
          <w:color w:val="1A3046"/>
          <w:sz w:val="17"/>
        </w:rPr>
        <w:t>let</w:t>
        <w:br/>
        <w:t xml:space="preserve">    Steps = List.Transform({0..20}, each _ * 0.05),</w:t>
        <w:br/>
        <w:t xml:space="preserve">    Converted = Table.FromList(Steps, Splitter.SplitByNothing(), {"OT Reduction %"}),</w:t>
        <w:br/>
        <w:t xml:space="preserve">    Typed = Table.TransformColumnTypes(Converted, {{"OT Reduction %", type number}})</w:t>
        <w:br/>
        <w:t>in</w:t>
        <w:br/>
        <w:t xml:space="preserve">    Typed</w:t>
      </w:r>
    </w:p>
    <w:p>
      <w:r>
        <w:br w:type="page"/>
      </w:r>
    </w:p>
    <w:p>
      <w:pPr>
        <w:pStyle w:val="Heading1"/>
      </w:pPr>
      <w:r>
        <w:t>2. Model (star schema)</w:t>
      </w:r>
    </w:p>
    <w:p>
      <w:pPr>
        <w:spacing w:after="160"/>
      </w:pPr>
      <w:r>
        <w:rPr>
          <w:b w:val="0"/>
          <w:i w:val="0"/>
          <w:sz w:val="21"/>
        </w:rPr>
        <w:t>A star schema was chosen over the flat source table for four reasons: the storage engine compresses a narrow fact plus small dimensions far better than one wide table; slicers read from dimensions rather than from the fact, which keeps filter cardinality low; a second fact table could later share the same dimensions; and it is the structure the task asked for.</w:t>
      </w:r>
    </w:p>
    <w:p>
      <w:pPr>
        <w:spacing w:before="60" w:after="120"/>
        <w:ind w:left="230"/>
        <w:shd w:val="clear" w:fill="F2F5F9"/>
      </w:pPr>
      <w:r>
        <w:rPr>
          <w:rFonts w:ascii="Consolas" w:hAnsi="Consolas"/>
          <w:color w:val="1A3046"/>
          <w:sz w:val="17"/>
        </w:rPr>
        <w:t xml:space="preserve">                DimDepartment (3)        DimJobRole (9)</w:t>
        <w:br/>
        <w:t xml:space="preserve">                        \                     /</w:t>
        <w:br/>
        <w:t xml:space="preserve">   DimTravel (3) ---- FactEmployee (1,470) ---- DimEducation (30)</w:t>
        <w:br/>
        <w:t xml:space="preserve">                             |</w:t>
        <w:br/>
        <w:t xml:space="preserve">                     DimDemographics (30)</w:t>
        <w:br/>
        <w:t xml:space="preserve">                (Gender x MaritalStatus x AgeBand)</w:t>
        <w:br/>
        <w:br/>
        <w:t xml:space="preserve">   OT Reduction Scenario (21)   — disconnected on purpose</w:t>
      </w:r>
    </w:p>
    <w:p>
      <w:pPr>
        <w:pStyle w:val="Heading2"/>
      </w:pPr>
      <w:r>
        <w:t>2.1 Relationships</w:t>
      </w:r>
    </w:p>
    <w:tbl>
      <w:tblPr>
        <w:tblStyle w:val="LightGrid-Accent1"/>
        <w:tblW w:type="auto" w:w="0"/>
        <w:jc w:val="center"/>
        <w:tblLook w:firstColumn="1" w:firstRow="1" w:lastColumn="0" w:lastRow="0" w:noHBand="0" w:noVBand="1" w:val="04A0"/>
      </w:tblPr>
      <w:tblGrid>
        <w:gridCol w:w="2448"/>
        <w:gridCol w:w="2448"/>
        <w:gridCol w:w="2448"/>
        <w:gridCol w:w="2448"/>
      </w:tblGrid>
      <w:tr>
        <w:tc>
          <w:tcPr>
            <w:tcW w:type="dxa" w:w="3024"/>
          </w:tcPr>
          <w:p>
            <w:r/>
            <w:r>
              <w:rPr>
                <w:b/>
                <w:sz w:val="19"/>
              </w:rPr>
              <w:t>From (fact)</w:t>
            </w:r>
          </w:p>
        </w:tc>
        <w:tc>
          <w:tcPr>
            <w:tcW w:type="dxa" w:w="3024"/>
          </w:tcPr>
          <w:p>
            <w:r/>
            <w:r>
              <w:rPr>
                <w:b/>
                <w:sz w:val="19"/>
              </w:rPr>
              <w:t>To (dimension)</w:t>
            </w:r>
          </w:p>
        </w:tc>
        <w:tc>
          <w:tcPr>
            <w:tcW w:type="dxa" w:w="1872"/>
          </w:tcPr>
          <w:p>
            <w:r/>
            <w:r>
              <w:rPr>
                <w:b/>
                <w:sz w:val="19"/>
              </w:rPr>
              <w:t>Cardinality</w:t>
            </w:r>
          </w:p>
        </w:tc>
        <w:tc>
          <w:tcPr>
            <w:tcW w:type="dxa" w:w="1872"/>
          </w:tcPr>
          <w:p>
            <w:r/>
            <w:r>
              <w:rPr>
                <w:b/>
                <w:sz w:val="19"/>
              </w:rPr>
              <w:t>Cross-filter</w:t>
            </w:r>
          </w:p>
        </w:tc>
      </w:tr>
      <w:tr>
        <w:tc>
          <w:tcPr>
            <w:tcW w:type="dxa" w:w="3024"/>
          </w:tcPr>
          <w:p>
            <w:r/>
            <w:r>
              <w:rPr>
                <w:sz w:val="18"/>
              </w:rPr>
              <w:t>FactEmployee.DepartmentKey</w:t>
            </w:r>
          </w:p>
        </w:tc>
        <w:tc>
          <w:tcPr>
            <w:tcW w:type="dxa" w:w="3024"/>
          </w:tcPr>
          <w:p>
            <w:r/>
            <w:r>
              <w:rPr>
                <w:sz w:val="18"/>
              </w:rPr>
              <w:t>DimDepartment.DepartmentKey</w:t>
            </w:r>
          </w:p>
        </w:tc>
        <w:tc>
          <w:tcPr>
            <w:tcW w:type="dxa" w:w="1872"/>
          </w:tcPr>
          <w:p>
            <w:r/>
            <w:r>
              <w:rPr>
                <w:sz w:val="18"/>
              </w:rPr>
              <w:t>Many-to-one</w:t>
            </w:r>
          </w:p>
        </w:tc>
        <w:tc>
          <w:tcPr>
            <w:tcW w:type="dxa" w:w="1872"/>
          </w:tcPr>
          <w:p>
            <w:r/>
            <w:r>
              <w:rPr>
                <w:sz w:val="18"/>
              </w:rPr>
              <w:t>Single</w:t>
            </w:r>
          </w:p>
        </w:tc>
      </w:tr>
      <w:tr>
        <w:tc>
          <w:tcPr>
            <w:tcW w:type="dxa" w:w="3024"/>
          </w:tcPr>
          <w:p>
            <w:r/>
            <w:r>
              <w:rPr>
                <w:sz w:val="18"/>
              </w:rPr>
              <w:t>FactEmployee.JobRoleKey</w:t>
            </w:r>
          </w:p>
        </w:tc>
        <w:tc>
          <w:tcPr>
            <w:tcW w:type="dxa" w:w="3024"/>
          </w:tcPr>
          <w:p>
            <w:r/>
            <w:r>
              <w:rPr>
                <w:sz w:val="18"/>
              </w:rPr>
              <w:t>DimJobRole.JobRoleKey</w:t>
            </w:r>
          </w:p>
        </w:tc>
        <w:tc>
          <w:tcPr>
            <w:tcW w:type="dxa" w:w="1872"/>
          </w:tcPr>
          <w:p>
            <w:r/>
            <w:r>
              <w:rPr>
                <w:sz w:val="18"/>
              </w:rPr>
              <w:t>Many-to-one</w:t>
            </w:r>
          </w:p>
        </w:tc>
        <w:tc>
          <w:tcPr>
            <w:tcW w:type="dxa" w:w="1872"/>
          </w:tcPr>
          <w:p>
            <w:r/>
            <w:r>
              <w:rPr>
                <w:sz w:val="18"/>
              </w:rPr>
              <w:t>Single</w:t>
            </w:r>
          </w:p>
        </w:tc>
      </w:tr>
      <w:tr>
        <w:tc>
          <w:tcPr>
            <w:tcW w:type="dxa" w:w="3024"/>
          </w:tcPr>
          <w:p>
            <w:r/>
            <w:r>
              <w:rPr>
                <w:sz w:val="18"/>
              </w:rPr>
              <w:t>FactEmployee.EducationKey</w:t>
            </w:r>
          </w:p>
        </w:tc>
        <w:tc>
          <w:tcPr>
            <w:tcW w:type="dxa" w:w="3024"/>
          </w:tcPr>
          <w:p>
            <w:r/>
            <w:r>
              <w:rPr>
                <w:sz w:val="18"/>
              </w:rPr>
              <w:t>DimEducation.EducationKey</w:t>
            </w:r>
          </w:p>
        </w:tc>
        <w:tc>
          <w:tcPr>
            <w:tcW w:type="dxa" w:w="1872"/>
          </w:tcPr>
          <w:p>
            <w:r/>
            <w:r>
              <w:rPr>
                <w:sz w:val="18"/>
              </w:rPr>
              <w:t>Many-to-one</w:t>
            </w:r>
          </w:p>
        </w:tc>
        <w:tc>
          <w:tcPr>
            <w:tcW w:type="dxa" w:w="1872"/>
          </w:tcPr>
          <w:p>
            <w:r/>
            <w:r>
              <w:rPr>
                <w:sz w:val="18"/>
              </w:rPr>
              <w:t>Single</w:t>
            </w:r>
          </w:p>
        </w:tc>
      </w:tr>
      <w:tr>
        <w:tc>
          <w:tcPr>
            <w:tcW w:type="dxa" w:w="3024"/>
          </w:tcPr>
          <w:p>
            <w:r/>
            <w:r>
              <w:rPr>
                <w:sz w:val="18"/>
              </w:rPr>
              <w:t>FactEmployee.DemographicsKey</w:t>
            </w:r>
          </w:p>
        </w:tc>
        <w:tc>
          <w:tcPr>
            <w:tcW w:type="dxa" w:w="3024"/>
          </w:tcPr>
          <w:p>
            <w:r/>
            <w:r>
              <w:rPr>
                <w:sz w:val="18"/>
              </w:rPr>
              <w:t>DimDemographics.DemographicsKey</w:t>
            </w:r>
          </w:p>
        </w:tc>
        <w:tc>
          <w:tcPr>
            <w:tcW w:type="dxa" w:w="1872"/>
          </w:tcPr>
          <w:p>
            <w:r/>
            <w:r>
              <w:rPr>
                <w:sz w:val="18"/>
              </w:rPr>
              <w:t>Many-to-one</w:t>
            </w:r>
          </w:p>
        </w:tc>
        <w:tc>
          <w:tcPr>
            <w:tcW w:type="dxa" w:w="1872"/>
          </w:tcPr>
          <w:p>
            <w:r/>
            <w:r>
              <w:rPr>
                <w:sz w:val="18"/>
              </w:rPr>
              <w:t>Single</w:t>
            </w:r>
          </w:p>
        </w:tc>
      </w:tr>
      <w:tr>
        <w:tc>
          <w:tcPr>
            <w:tcW w:type="dxa" w:w="3024"/>
          </w:tcPr>
          <w:p>
            <w:r/>
            <w:r>
              <w:rPr>
                <w:sz w:val="18"/>
              </w:rPr>
              <w:t>FactEmployee.TravelKey</w:t>
            </w:r>
          </w:p>
        </w:tc>
        <w:tc>
          <w:tcPr>
            <w:tcW w:type="dxa" w:w="3024"/>
          </w:tcPr>
          <w:p>
            <w:r/>
            <w:r>
              <w:rPr>
                <w:sz w:val="18"/>
              </w:rPr>
              <w:t>DimTravel.TravelKey</w:t>
            </w:r>
          </w:p>
        </w:tc>
        <w:tc>
          <w:tcPr>
            <w:tcW w:type="dxa" w:w="1872"/>
          </w:tcPr>
          <w:p>
            <w:r/>
            <w:r>
              <w:rPr>
                <w:sz w:val="18"/>
              </w:rPr>
              <w:t>Many-to-one</w:t>
            </w:r>
          </w:p>
        </w:tc>
        <w:tc>
          <w:tcPr>
            <w:tcW w:type="dxa" w:w="1872"/>
          </w:tcPr>
          <w:p>
            <w:r/>
            <w:r>
              <w:rPr>
                <w:sz w:val="18"/>
              </w:rPr>
              <w:t>Single</w:t>
            </w:r>
          </w:p>
        </w:tc>
      </w:tr>
    </w:tbl>
    <w:p>
      <w:pPr>
        <w:spacing w:after="80"/>
      </w:pPr>
    </w:p>
    <w:p>
      <w:pPr>
        <w:spacing w:after="160"/>
      </w:pPr>
      <w:r>
        <w:rPr>
          <w:b w:val="0"/>
          <w:i w:val="0"/>
          <w:sz w:val="20"/>
        </w:rPr>
        <w:t>Single-direction filtering is used everywhere. Bi-directional filters would introduce ambiguity as soon as a second fact table is added, and they are not needed: every visual filters from a dimension down to the fact, never the other way.</w:t>
      </w:r>
    </w:p>
    <w:p>
      <w:pPr>
        <w:pStyle w:val="Heading2"/>
      </w:pPr>
      <w:r>
        <w:t>2.2 Hidden objects</w:t>
      </w:r>
    </w:p>
    <w:p>
      <w:pPr>
        <w:spacing w:after="160"/>
      </w:pPr>
      <w:r>
        <w:rPr>
          <w:b w:val="0"/>
          <w:i w:val="0"/>
          <w:sz w:val="21"/>
        </w:rPr>
        <w:t>All five surrogate key columns are hidden from report view — they are plumbing, not analysis. IncomeBandSort and TenureBandSort are hidden as well; they exist only to drive the sort order of the bands they belong to.</w:t>
      </w:r>
    </w:p>
    <w:p>
      <w:r>
        <w:br w:type="page"/>
      </w:r>
    </w:p>
    <w:p>
      <w:pPr>
        <w:pStyle w:val="Heading1"/>
      </w:pPr>
      <w:r>
        <w:t>3. DAX measures</w:t>
      </w:r>
    </w:p>
    <w:p>
      <w:pPr>
        <w:spacing w:after="160"/>
      </w:pPr>
      <w:r>
        <w:rPr>
          <w:b w:val="0"/>
          <w:i w:val="0"/>
          <w:sz w:val="21"/>
        </w:rPr>
        <w:t>All 31 measures sit in a dedicated empty table, _Measures, so they are grouped in one place in the Fields pane instead of being scattered across the data tables. Measures that do more than one thing use VAR/RETURN: each variable is evaluated once in the filter context where it is declared, which both avoids recomputing the same sub-expression and removes the context-transition surprises that come from nesting CALCULATE inside CALCULATE.</w:t>
      </w:r>
    </w:p>
    <w:p>
      <w:pPr>
        <w:pStyle w:val="Heading2"/>
      </w:pPr>
      <w:r>
        <w:t>3.1 DAX functions used, and why</w:t>
      </w:r>
    </w:p>
    <w:tbl>
      <w:tblPr>
        <w:tblStyle w:val="LightGrid-Accent1"/>
        <w:tblW w:type="auto" w:w="0"/>
        <w:jc w:val="center"/>
        <w:tblLook w:firstColumn="1" w:firstRow="1" w:lastColumn="0" w:lastRow="0" w:noHBand="0" w:noVBand="1" w:val="04A0"/>
      </w:tblPr>
      <w:tblGrid>
        <w:gridCol w:w="4896"/>
        <w:gridCol w:w="4896"/>
      </w:tblGrid>
      <w:tr>
        <w:tc>
          <w:tcPr>
            <w:tcW w:type="dxa" w:w="3024"/>
          </w:tcPr>
          <w:p>
            <w:r/>
            <w:r>
              <w:rPr>
                <w:b/>
                <w:sz w:val="19"/>
              </w:rPr>
              <w:t>Function</w:t>
            </w:r>
          </w:p>
        </w:tc>
        <w:tc>
          <w:tcPr>
            <w:tcW w:type="dxa" w:w="6768"/>
          </w:tcPr>
          <w:p>
            <w:r/>
            <w:r>
              <w:rPr>
                <w:b/>
                <w:sz w:val="19"/>
              </w:rPr>
              <w:t>What it does in this file</w:t>
            </w:r>
          </w:p>
        </w:tc>
      </w:tr>
      <w:tr>
        <w:tc>
          <w:tcPr>
            <w:tcW w:type="dxa" w:w="3024"/>
          </w:tcPr>
          <w:p>
            <w:r/>
            <w:r>
              <w:rPr>
                <w:sz w:val="18"/>
              </w:rPr>
              <w:t>COUNTROWS</w:t>
            </w:r>
          </w:p>
        </w:tc>
        <w:tc>
          <w:tcPr>
            <w:tcW w:type="dxa" w:w="6768"/>
          </w:tcPr>
          <w:p>
            <w:r/>
            <w:r>
              <w:rPr>
                <w:sz w:val="18"/>
              </w:rPr>
              <w:t>Counts the rows visible in the current filter context.</w:t>
            </w:r>
          </w:p>
        </w:tc>
      </w:tr>
      <w:tr>
        <w:tc>
          <w:tcPr>
            <w:tcW w:type="dxa" w:w="3024"/>
          </w:tcPr>
          <w:p>
            <w:r/>
            <w:r>
              <w:rPr>
                <w:sz w:val="18"/>
              </w:rPr>
              <w:t>CALCULATE</w:t>
            </w:r>
          </w:p>
        </w:tc>
        <w:tc>
          <w:tcPr>
            <w:tcW w:type="dxa" w:w="6768"/>
          </w:tcPr>
          <w:p>
            <w:r/>
            <w:r>
              <w:rPr>
                <w:sz w:val="18"/>
              </w:rPr>
              <w:t>Evaluates an expression after changing the filter context — the only way to ask 'the same measure, but for this subset'.</w:t>
            </w:r>
          </w:p>
        </w:tc>
      </w:tr>
      <w:tr>
        <w:tc>
          <w:tcPr>
            <w:tcW w:type="dxa" w:w="3024"/>
          </w:tcPr>
          <w:p>
            <w:r/>
            <w:r>
              <w:rPr>
                <w:sz w:val="18"/>
              </w:rPr>
              <w:t>DIVIDE</w:t>
            </w:r>
          </w:p>
        </w:tc>
        <w:tc>
          <w:tcPr>
            <w:tcW w:type="dxa" w:w="6768"/>
          </w:tcPr>
          <w:p>
            <w:r/>
            <w:r>
              <w:rPr>
                <w:sz w:val="18"/>
              </w:rPr>
              <w:t>Safe division: returns blank instead of an error when the denominator is 0.</w:t>
            </w:r>
          </w:p>
        </w:tc>
      </w:tr>
      <w:tr>
        <w:tc>
          <w:tcPr>
            <w:tcW w:type="dxa" w:w="3024"/>
          </w:tcPr>
          <w:p>
            <w:r/>
            <w:r>
              <w:rPr>
                <w:sz w:val="18"/>
              </w:rPr>
              <w:t>COALESCE</w:t>
            </w:r>
          </w:p>
        </w:tc>
        <w:tc>
          <w:tcPr>
            <w:tcW w:type="dxa" w:w="6768"/>
          </w:tcPr>
          <w:p>
            <w:r/>
            <w:r>
              <w:rPr>
                <w:sz w:val="18"/>
              </w:rPr>
              <w:t>Returns the first non-blank argument; used to show 0 rather than a blank card.</w:t>
            </w:r>
          </w:p>
        </w:tc>
      </w:tr>
      <w:tr>
        <w:tc>
          <w:tcPr>
            <w:tcW w:type="dxa" w:w="3024"/>
          </w:tcPr>
          <w:p>
            <w:r/>
            <w:r>
              <w:rPr>
                <w:sz w:val="18"/>
              </w:rPr>
              <w:t>REMOVEFILTERS</w:t>
            </w:r>
          </w:p>
        </w:tc>
        <w:tc>
          <w:tcPr>
            <w:tcW w:type="dxa" w:w="6768"/>
          </w:tcPr>
          <w:p>
            <w:r/>
            <w:r>
              <w:rPr>
                <w:sz w:val="18"/>
              </w:rPr>
              <w:t>Clears filters so a value stays at company level while the rest of the visual is sliced — this is what makes a benchmark a benchmark.</w:t>
            </w:r>
          </w:p>
        </w:tc>
      </w:tr>
      <w:tr>
        <w:tc>
          <w:tcPr>
            <w:tcW w:type="dxa" w:w="3024"/>
          </w:tcPr>
          <w:p>
            <w:r/>
            <w:r>
              <w:rPr>
                <w:sz w:val="18"/>
              </w:rPr>
              <w:t>ALL</w:t>
            </w:r>
          </w:p>
        </w:tc>
        <w:tc>
          <w:tcPr>
            <w:tcW w:type="dxa" w:w="6768"/>
          </w:tcPr>
          <w:p>
            <w:r/>
            <w:r>
              <w:rPr>
                <w:sz w:val="18"/>
              </w:rPr>
              <w:t>Ignores filters on a table or column; used inside PERCENTILEX and RANKX so the fences and the ranking are computed over the whole population.</w:t>
            </w:r>
          </w:p>
        </w:tc>
      </w:tr>
      <w:tr>
        <w:tc>
          <w:tcPr>
            <w:tcW w:type="dxa" w:w="3024"/>
          </w:tcPr>
          <w:p>
            <w:r/>
            <w:r>
              <w:rPr>
                <w:sz w:val="18"/>
              </w:rPr>
              <w:t>PERCENTILEX.INC</w:t>
            </w:r>
          </w:p>
        </w:tc>
        <w:tc>
          <w:tcPr>
            <w:tcW w:type="dxa" w:w="6768"/>
          </w:tcPr>
          <w:p>
            <w:r/>
            <w:r>
              <w:rPr>
                <w:sz w:val="18"/>
              </w:rPr>
              <w:t>Percentile of an expression evaluated row by row — used for the Q1/Q3 of the IQR outlier fence.</w:t>
            </w:r>
          </w:p>
        </w:tc>
      </w:tr>
      <w:tr>
        <w:tc>
          <w:tcPr>
            <w:tcW w:type="dxa" w:w="3024"/>
          </w:tcPr>
          <w:p>
            <w:r/>
            <w:r>
              <w:rPr>
                <w:sz w:val="18"/>
              </w:rPr>
              <w:t>SELECTEDVALUE</w:t>
            </w:r>
          </w:p>
        </w:tc>
        <w:tc>
          <w:tcPr>
            <w:tcW w:type="dxa" w:w="6768"/>
          </w:tcPr>
          <w:p>
            <w:r/>
            <w:r>
              <w:rPr>
                <w:sz w:val="18"/>
              </w:rPr>
              <w:t>Returns the single selected value of a column, or a fallback when nothing or more than one thing is selected — the standard way to read a what-if slicer.</w:t>
            </w:r>
          </w:p>
        </w:tc>
      </w:tr>
      <w:tr>
        <w:tc>
          <w:tcPr>
            <w:tcW w:type="dxa" w:w="3024"/>
          </w:tcPr>
          <w:p>
            <w:r/>
            <w:r>
              <w:rPr>
                <w:sz w:val="18"/>
              </w:rPr>
              <w:t>SWITCH ( TRUE (), … )</w:t>
            </w:r>
          </w:p>
        </w:tc>
        <w:tc>
          <w:tcPr>
            <w:tcW w:type="dxa" w:w="6768"/>
          </w:tcPr>
          <w:p>
            <w:r/>
            <w:r>
              <w:rPr>
                <w:sz w:val="18"/>
              </w:rPr>
              <w:t>Readable multi-branch conditional; each condition is tested in order.</w:t>
            </w:r>
          </w:p>
        </w:tc>
      </w:tr>
      <w:tr>
        <w:tc>
          <w:tcPr>
            <w:tcW w:type="dxa" w:w="3024"/>
          </w:tcPr>
          <w:p>
            <w:r/>
            <w:r>
              <w:rPr>
                <w:sz w:val="18"/>
              </w:rPr>
              <w:t>RANKX</w:t>
            </w:r>
          </w:p>
        </w:tc>
        <w:tc>
          <w:tcPr>
            <w:tcW w:type="dxa" w:w="6768"/>
          </w:tcPr>
          <w:p>
            <w:r/>
            <w:r>
              <w:rPr>
                <w:sz w:val="18"/>
              </w:rPr>
              <w:t>Ranks each row of a table by an expression.</w:t>
            </w:r>
          </w:p>
        </w:tc>
      </w:tr>
      <w:tr>
        <w:tc>
          <w:tcPr>
            <w:tcW w:type="dxa" w:w="3024"/>
          </w:tcPr>
          <w:p>
            <w:r/>
            <w:r>
              <w:rPr>
                <w:sz w:val="18"/>
              </w:rPr>
              <w:t>FORMAT</w:t>
            </w:r>
          </w:p>
        </w:tc>
        <w:tc>
          <w:tcPr>
            <w:tcW w:type="dxa" w:w="6768"/>
          </w:tcPr>
          <w:p>
            <w:r/>
            <w:r>
              <w:rPr>
                <w:sz w:val="18"/>
              </w:rPr>
              <w:t>Converts a number to text with an explicit format — needed when a number is concatenated into a sentence.</w:t>
            </w:r>
          </w:p>
        </w:tc>
      </w:tr>
      <w:tr>
        <w:tc>
          <w:tcPr>
            <w:tcW w:type="dxa" w:w="3024"/>
          </w:tcPr>
          <w:p>
            <w:r/>
            <w:r>
              <w:rPr>
                <w:sz w:val="18"/>
              </w:rPr>
              <w:t>AVERAGE</w:t>
            </w:r>
          </w:p>
        </w:tc>
        <w:tc>
          <w:tcPr>
            <w:tcW w:type="dxa" w:w="6768"/>
          </w:tcPr>
          <w:p>
            <w:r/>
            <w:r>
              <w:rPr>
                <w:sz w:val="18"/>
              </w:rPr>
              <w:t>Arithmetic mean of a column in the current filter context.</w:t>
            </w:r>
          </w:p>
        </w:tc>
      </w:tr>
    </w:tbl>
    <w:p>
      <w:pPr>
        <w:spacing w:after="80"/>
      </w:pPr>
    </w:p>
    <w:p>
      <w:pPr>
        <w:pStyle w:val="Heading2"/>
      </w:pPr>
      <w:r>
        <w:t>3.2 Measure by measure</w:t>
      </w:r>
    </w:p>
    <w:p>
      <w:pPr>
        <w:pStyle w:val="Heading3"/>
      </w:pPr>
      <w:r>
        <w:t>Total Employees</w:t>
      </w:r>
    </w:p>
    <w:p>
      <w:pPr>
        <w:spacing w:before="60" w:after="120"/>
        <w:ind w:left="230"/>
        <w:shd w:val="clear" w:fill="F2F5F9"/>
      </w:pPr>
      <w:r>
        <w:rPr>
          <w:rFonts w:ascii="Consolas" w:hAnsi="Consolas"/>
          <w:color w:val="1A3046"/>
          <w:sz w:val="17"/>
        </w:rPr>
        <w:t>COUNTROWS ( FactEmployee )</w:t>
      </w:r>
    </w:p>
    <w:p>
      <w:pPr>
        <w:spacing w:after="60"/>
        <w:ind w:left="230"/>
      </w:pPr>
      <w:r>
        <w:rPr>
          <w:b/>
          <w:color w:val="006B33"/>
          <w:sz w:val="20"/>
        </w:rPr>
        <w:t xml:space="preserve">What it is:  </w:t>
      </w:r>
      <w:r>
        <w:rPr>
          <w:sz w:val="20"/>
        </w:rPr>
        <w:t>Headcount in the current filter context.</w:t>
      </w:r>
    </w:p>
    <w:p>
      <w:pPr>
        <w:spacing w:after="60"/>
        <w:ind w:left="230"/>
      </w:pPr>
      <w:r>
        <w:rPr>
          <w:b/>
          <w:color w:val="006B33"/>
          <w:sz w:val="20"/>
        </w:rPr>
        <w:t xml:space="preserve">How it works:  </w:t>
      </w:r>
      <w:r>
        <w:rPr>
          <w:sz w:val="20"/>
        </w:rPr>
        <w:t>The denominator of every rate in the file. Kept as its own measure so the definition of 'headcount' exists in exactly one place.</w:t>
      </w:r>
    </w:p>
    <w:p>
      <w:pPr>
        <w:spacing w:after="60"/>
        <w:ind w:left="230"/>
      </w:pPr>
      <w:r>
        <w:rPr>
          <w:b/>
          <w:color w:val="006B33"/>
          <w:sz w:val="20"/>
        </w:rPr>
        <w:t xml:space="preserve">Used by:  </w:t>
      </w:r>
      <w:r>
        <w:rPr>
          <w:sz w:val="20"/>
        </w:rPr>
        <w:t>KPI card on page 1; the live figure on the navigation rail; denominator inside most other measures.</w:t>
      </w:r>
    </w:p>
    <w:p>
      <w:pPr>
        <w:spacing w:after="60"/>
        <w:ind w:left="230"/>
      </w:pPr>
      <w:r>
        <w:rPr>
          <w:b/>
          <w:color w:val="006B33"/>
          <w:sz w:val="20"/>
        </w:rPr>
        <w:t xml:space="preserve">Format string:  </w:t>
      </w:r>
      <w:r>
        <w:rPr>
          <w:sz w:val="20"/>
        </w:rPr>
        <w:t>#,0</w:t>
      </w:r>
    </w:p>
    <w:p>
      <w:pPr>
        <w:spacing w:after="40"/>
      </w:pPr>
    </w:p>
    <w:p>
      <w:pPr>
        <w:pStyle w:val="Heading3"/>
      </w:pPr>
      <w:r>
        <w:t>Leavers</w:t>
      </w:r>
    </w:p>
    <w:p>
      <w:pPr>
        <w:spacing w:before="60" w:after="120"/>
        <w:ind w:left="230"/>
        <w:shd w:val="clear" w:fill="F2F5F9"/>
      </w:pPr>
      <w:r>
        <w:rPr>
          <w:rFonts w:ascii="Consolas" w:hAnsi="Consolas"/>
          <w:color w:val="1A3046"/>
          <w:sz w:val="17"/>
        </w:rPr>
        <w:t>VAR _leavers = CALCULATE ( COUNTROWS ( FactEmployee ), FactEmployee[Attrition] = "Yes" )</w:t>
        <w:br/>
        <w:t>RETURN COALESCE ( _leavers, 0 )</w:t>
      </w:r>
    </w:p>
    <w:p>
      <w:pPr>
        <w:spacing w:after="60"/>
        <w:ind w:left="230"/>
      </w:pPr>
      <w:r>
        <w:rPr>
          <w:b/>
          <w:color w:val="006B33"/>
          <w:sz w:val="20"/>
        </w:rPr>
        <w:t xml:space="preserve">What it is:  </w:t>
      </w:r>
      <w:r>
        <w:rPr>
          <w:sz w:val="20"/>
        </w:rPr>
        <w:t>Employees whose Attrition flag is Yes.</w:t>
      </w:r>
    </w:p>
    <w:p>
      <w:pPr>
        <w:spacing w:after="60"/>
        <w:ind w:left="230"/>
      </w:pPr>
      <w:r>
        <w:rPr>
          <w:b/>
          <w:color w:val="006B33"/>
          <w:sz w:val="20"/>
        </w:rPr>
        <w:t xml:space="preserve">How it works:  </w:t>
      </w:r>
      <w:r>
        <w:rPr>
          <w:sz w:val="20"/>
        </w:rPr>
        <w:t>CALCULATE applies the Attrition = "Yes" filter on top of whatever the visual already filters. COALESCE turns a blank into 0 so an empty slicer selection shows 0 instead of an empty card.</w:t>
      </w:r>
    </w:p>
    <w:p>
      <w:pPr>
        <w:spacing w:after="60"/>
        <w:ind w:left="230"/>
      </w:pPr>
      <w:r>
        <w:rPr>
          <w:b/>
          <w:color w:val="006B33"/>
          <w:sz w:val="20"/>
        </w:rPr>
        <w:t xml:space="preserve">Used by:  </w:t>
      </w:r>
      <w:r>
        <w:rPr>
          <w:sz w:val="20"/>
        </w:rPr>
        <w:t>KPI card, rail figure, donut values, and the numerator of the attrition rate.</w:t>
      </w:r>
    </w:p>
    <w:p>
      <w:pPr>
        <w:spacing w:after="60"/>
        <w:ind w:left="230"/>
      </w:pPr>
      <w:r>
        <w:rPr>
          <w:b/>
          <w:color w:val="006B33"/>
          <w:sz w:val="20"/>
        </w:rPr>
        <w:t xml:space="preserve">Format string:  </w:t>
      </w:r>
      <w:r>
        <w:rPr>
          <w:sz w:val="20"/>
        </w:rPr>
        <w:t>#,0</w:t>
      </w:r>
    </w:p>
    <w:p>
      <w:pPr>
        <w:spacing w:after="40"/>
      </w:pPr>
    </w:p>
    <w:p>
      <w:pPr>
        <w:pStyle w:val="Heading3"/>
      </w:pPr>
      <w:r>
        <w:t>Active Employees</w:t>
      </w:r>
    </w:p>
    <w:p>
      <w:pPr>
        <w:spacing w:before="60" w:after="120"/>
        <w:ind w:left="230"/>
        <w:shd w:val="clear" w:fill="F2F5F9"/>
      </w:pPr>
      <w:r>
        <w:rPr>
          <w:rFonts w:ascii="Consolas" w:hAnsi="Consolas"/>
          <w:color w:val="1A3046"/>
          <w:sz w:val="17"/>
        </w:rPr>
        <w:t>VAR _total = [Total Employees]</w:t>
        <w:br/>
        <w:t>VAR _left = [Leavers]</w:t>
        <w:br/>
        <w:t>RETURN _total - _left</w:t>
      </w:r>
    </w:p>
    <w:p>
      <w:pPr>
        <w:spacing w:after="60"/>
        <w:ind w:left="230"/>
      </w:pPr>
      <w:r>
        <w:rPr>
          <w:b/>
          <w:color w:val="006B33"/>
          <w:sz w:val="20"/>
        </w:rPr>
        <w:t xml:space="preserve">What it is:  </w:t>
      </w:r>
      <w:r>
        <w:rPr>
          <w:sz w:val="20"/>
        </w:rPr>
        <w:t>Headcount still with the company.</w:t>
      </w:r>
    </w:p>
    <w:p>
      <w:pPr>
        <w:spacing w:after="60"/>
        <w:ind w:left="230"/>
      </w:pPr>
      <w:r>
        <w:rPr>
          <w:b/>
          <w:color w:val="006B33"/>
          <w:sz w:val="20"/>
        </w:rPr>
        <w:t xml:space="preserve">How it works:  </w:t>
      </w:r>
      <w:r>
        <w:rPr>
          <w:sz w:val="20"/>
        </w:rPr>
        <w:t>Simple subtraction, but written with variables so both halves are computed once and the intent is readable.</w:t>
      </w:r>
    </w:p>
    <w:p>
      <w:pPr>
        <w:spacing w:after="60"/>
        <w:ind w:left="230"/>
      </w:pPr>
      <w:r>
        <w:rPr>
          <w:b/>
          <w:color w:val="006B33"/>
          <w:sz w:val="20"/>
        </w:rPr>
        <w:t xml:space="preserve">Used by:  </w:t>
      </w:r>
      <w:r>
        <w:rPr>
          <w:sz w:val="20"/>
        </w:rPr>
        <w:t>Available for tables and tooltips.</w:t>
      </w:r>
    </w:p>
    <w:p>
      <w:pPr>
        <w:spacing w:after="60"/>
        <w:ind w:left="230"/>
      </w:pPr>
      <w:r>
        <w:rPr>
          <w:b/>
          <w:color w:val="006B33"/>
          <w:sz w:val="20"/>
        </w:rPr>
        <w:t xml:space="preserve">Format string:  </w:t>
      </w:r>
      <w:r>
        <w:rPr>
          <w:sz w:val="20"/>
        </w:rPr>
        <w:t>#,0</w:t>
      </w:r>
    </w:p>
    <w:p>
      <w:pPr>
        <w:spacing w:after="40"/>
      </w:pPr>
    </w:p>
    <w:p>
      <w:pPr>
        <w:pStyle w:val="Heading3"/>
      </w:pPr>
      <w:r>
        <w:t>Attrition Rate %</w:t>
      </w:r>
    </w:p>
    <w:p>
      <w:pPr>
        <w:spacing w:before="60" w:after="120"/>
        <w:ind w:left="230"/>
        <w:shd w:val="clear" w:fill="F2F5F9"/>
      </w:pPr>
      <w:r>
        <w:rPr>
          <w:rFonts w:ascii="Consolas" w:hAnsi="Consolas"/>
          <w:color w:val="1A3046"/>
          <w:sz w:val="17"/>
        </w:rPr>
        <w:t>VAR _leavers = [Leavers]</w:t>
        <w:br/>
        <w:t>VAR _total = [Total Employees]</w:t>
        <w:br/>
        <w:t>RETURN DIVIDE ( _leavers, _total )</w:t>
      </w:r>
    </w:p>
    <w:p>
      <w:pPr>
        <w:spacing w:after="60"/>
        <w:ind w:left="230"/>
      </w:pPr>
      <w:r>
        <w:rPr>
          <w:b/>
          <w:color w:val="006B33"/>
          <w:sz w:val="20"/>
        </w:rPr>
        <w:t xml:space="preserve">What it is:  </w:t>
      </w:r>
      <w:r>
        <w:rPr>
          <w:sz w:val="20"/>
        </w:rPr>
        <w:t>Share of the filtered population that left.</w:t>
      </w:r>
    </w:p>
    <w:p>
      <w:pPr>
        <w:spacing w:after="60"/>
        <w:ind w:left="230"/>
      </w:pPr>
      <w:r>
        <w:rPr>
          <w:b/>
          <w:color w:val="006B33"/>
          <w:sz w:val="20"/>
        </w:rPr>
        <w:t xml:space="preserve">How it works:  </w:t>
      </w:r>
      <w:r>
        <w:rPr>
          <w:sz w:val="20"/>
        </w:rPr>
        <w:t>DIVIDE guards against a zero denominator, which happens as soon as a slicer combination returns no employees.</w:t>
      </w:r>
    </w:p>
    <w:p>
      <w:pPr>
        <w:spacing w:after="60"/>
        <w:ind w:left="230"/>
      </w:pPr>
      <w:r>
        <w:rPr>
          <w:b/>
          <w:color w:val="006B33"/>
          <w:sz w:val="20"/>
        </w:rPr>
        <w:t xml:space="preserve">Used by:  </w:t>
      </w:r>
      <w:r>
        <w:rPr>
          <w:sz w:val="20"/>
        </w:rPr>
        <w:t>The headline KPI, the Y value of every rate chart, and the input to the colour and flag measures.</w:t>
      </w:r>
    </w:p>
    <w:p>
      <w:pPr>
        <w:spacing w:after="60"/>
        <w:ind w:left="230"/>
      </w:pPr>
      <w:r>
        <w:rPr>
          <w:b/>
          <w:color w:val="006B33"/>
          <w:sz w:val="20"/>
        </w:rPr>
        <w:t xml:space="preserve">Format string:  </w:t>
      </w:r>
      <w:r>
        <w:rPr>
          <w:sz w:val="20"/>
        </w:rPr>
        <w:t>0.0%;-0.0%;0.0%</w:t>
      </w:r>
    </w:p>
    <w:p>
      <w:pPr>
        <w:spacing w:after="40"/>
      </w:pPr>
    </w:p>
    <w:p>
      <w:pPr>
        <w:pStyle w:val="Heading3"/>
      </w:pPr>
      <w:r>
        <w:t>Attrition Rate (Company) %</w:t>
      </w:r>
    </w:p>
    <w:p>
      <w:pPr>
        <w:spacing w:before="60" w:after="120"/>
        <w:ind w:left="230"/>
        <w:shd w:val="clear" w:fill="F2F5F9"/>
      </w:pPr>
      <w:r>
        <w:rPr>
          <w:rFonts w:ascii="Consolas" w:hAnsi="Consolas"/>
          <w:color w:val="1A3046"/>
          <w:sz w:val="17"/>
        </w:rPr>
        <w:t>VAR _allLeavers = CALCULATE ( [Leavers], REMOVEFILTERS () )</w:t>
        <w:br/>
        <w:t>VAR _allTotal = CALCULATE ( [Total Employees], REMOVEFILTERS () )</w:t>
        <w:br/>
        <w:t>RETURN DIVIDE ( _allLeavers, _allTotal )</w:t>
      </w:r>
    </w:p>
    <w:p>
      <w:pPr>
        <w:spacing w:after="60"/>
        <w:ind w:left="230"/>
      </w:pPr>
      <w:r>
        <w:rPr>
          <w:b/>
          <w:color w:val="006B33"/>
          <w:sz w:val="20"/>
        </w:rPr>
        <w:t xml:space="preserve">What it is:  </w:t>
      </w:r>
      <w:r>
        <w:rPr>
          <w:sz w:val="20"/>
        </w:rPr>
        <w:t>The company-wide rate, held at 16.1% regardless of slicers.</w:t>
      </w:r>
    </w:p>
    <w:p>
      <w:pPr>
        <w:spacing w:after="60"/>
        <w:ind w:left="230"/>
      </w:pPr>
      <w:r>
        <w:rPr>
          <w:b/>
          <w:color w:val="006B33"/>
          <w:sz w:val="20"/>
        </w:rPr>
        <w:t xml:space="preserve">How it works:  </w:t>
      </w:r>
      <w:r>
        <w:rPr>
          <w:sz w:val="20"/>
        </w:rPr>
        <w:t>REMOVEFILTERS() strips every filter, so this stays constant while the visual around it is sliced. Without it there would be nothing to compare a segment against.</w:t>
      </w:r>
    </w:p>
    <w:p>
      <w:pPr>
        <w:spacing w:after="60"/>
        <w:ind w:left="230"/>
      </w:pPr>
      <w:r>
        <w:rPr>
          <w:b/>
          <w:color w:val="006B33"/>
          <w:sz w:val="20"/>
        </w:rPr>
        <w:t xml:space="preserve">Used by:  </w:t>
      </w:r>
      <w:r>
        <w:rPr>
          <w:sz w:val="20"/>
        </w:rPr>
        <w:t>Benchmark reference line and the comparison value inside Bar Colour and Attrition vs Company.</w:t>
      </w:r>
    </w:p>
    <w:p>
      <w:pPr>
        <w:spacing w:after="60"/>
        <w:ind w:left="230"/>
      </w:pPr>
      <w:r>
        <w:rPr>
          <w:b/>
          <w:color w:val="006B33"/>
          <w:sz w:val="20"/>
        </w:rPr>
        <w:t xml:space="preserve">Format string:  </w:t>
      </w:r>
      <w:r>
        <w:rPr>
          <w:sz w:val="20"/>
        </w:rPr>
        <w:t>0.0%;-0.0%;0.0%</w:t>
      </w:r>
    </w:p>
    <w:p>
      <w:pPr>
        <w:spacing w:after="40"/>
      </w:pPr>
    </w:p>
    <w:p>
      <w:pPr>
        <w:pStyle w:val="Heading3"/>
      </w:pPr>
      <w:r>
        <w:t>Attrition vs Company (pp)</w:t>
      </w:r>
    </w:p>
    <w:p>
      <w:pPr>
        <w:spacing w:before="60" w:after="120"/>
        <w:ind w:left="230"/>
        <w:shd w:val="clear" w:fill="F2F5F9"/>
      </w:pPr>
      <w:r>
        <w:rPr>
          <w:rFonts w:ascii="Consolas" w:hAnsi="Consolas"/>
          <w:color w:val="1A3046"/>
          <w:sz w:val="17"/>
        </w:rPr>
        <w:t>VAR _segment = [Attrition Rate %]</w:t>
        <w:br/>
        <w:t>VAR _company = [Attrition Rate (Company) %]</w:t>
        <w:br/>
        <w:t>RETURN _segment - _company</w:t>
      </w:r>
    </w:p>
    <w:p>
      <w:pPr>
        <w:spacing w:after="60"/>
        <w:ind w:left="230"/>
      </w:pPr>
      <w:r>
        <w:rPr>
          <w:b/>
          <w:color w:val="006B33"/>
          <w:sz w:val="20"/>
        </w:rPr>
        <w:t xml:space="preserve">What it is:  </w:t>
      </w:r>
      <w:r>
        <w:rPr>
          <w:sz w:val="20"/>
        </w:rPr>
        <w:t>Distance from the benchmark in percentage points.</w:t>
      </w:r>
    </w:p>
    <w:p>
      <w:pPr>
        <w:spacing w:after="60"/>
        <w:ind w:left="230"/>
      </w:pPr>
      <w:r>
        <w:rPr>
          <w:b/>
          <w:color w:val="006B33"/>
          <w:sz w:val="20"/>
        </w:rPr>
        <w:t xml:space="preserve">How it works:  </w:t>
      </w:r>
      <w:r>
        <w:rPr>
          <w:sz w:val="20"/>
        </w:rPr>
        <w:t>A subtraction of two measures. Percentage points, not percent — a segment at 30% is 14 points above 16%, not 14% above it.</w:t>
      </w:r>
    </w:p>
    <w:p>
      <w:pPr>
        <w:spacing w:after="60"/>
        <w:ind w:left="230"/>
      </w:pPr>
      <w:r>
        <w:rPr>
          <w:b/>
          <w:color w:val="006B33"/>
          <w:sz w:val="20"/>
        </w:rPr>
        <w:t xml:space="preserve">Used by:  </w:t>
      </w:r>
      <w:r>
        <w:rPr>
          <w:sz w:val="20"/>
        </w:rPr>
        <w:t>Conditional formatting and the risk flag.</w:t>
      </w:r>
    </w:p>
    <w:p>
      <w:pPr>
        <w:spacing w:after="60"/>
        <w:ind w:left="230"/>
      </w:pPr>
      <w:r>
        <w:rPr>
          <w:b/>
          <w:color w:val="006B33"/>
          <w:sz w:val="20"/>
        </w:rPr>
        <w:t xml:space="preserve">Format string:  </w:t>
      </w:r>
      <w:r>
        <w:rPr>
          <w:sz w:val="20"/>
        </w:rPr>
        <w:t>0.0%;-0.0%;0.0%</w:t>
      </w:r>
    </w:p>
    <w:p>
      <w:pPr>
        <w:spacing w:after="40"/>
      </w:pPr>
    </w:p>
    <w:p>
      <w:pPr>
        <w:pStyle w:val="Heading3"/>
      </w:pPr>
      <w:r>
        <w:t>Avg Monthly Income</w:t>
      </w:r>
    </w:p>
    <w:p>
      <w:pPr>
        <w:spacing w:before="60" w:after="120"/>
        <w:ind w:left="230"/>
        <w:shd w:val="clear" w:fill="F2F5F9"/>
      </w:pPr>
      <w:r>
        <w:rPr>
          <w:rFonts w:ascii="Consolas" w:hAnsi="Consolas"/>
          <w:color w:val="1A3046"/>
          <w:sz w:val="17"/>
        </w:rPr>
        <w:t>AVERAGE ( FactEmployee[MonthlyIncome] )</w:t>
      </w:r>
    </w:p>
    <w:p>
      <w:pPr>
        <w:spacing w:after="60"/>
        <w:ind w:left="230"/>
      </w:pPr>
      <w:r>
        <w:rPr>
          <w:b/>
          <w:color w:val="006B33"/>
          <w:sz w:val="20"/>
        </w:rPr>
        <w:t xml:space="preserve">What it is:  </w:t>
      </w:r>
      <w:r>
        <w:rPr>
          <w:sz w:val="20"/>
        </w:rPr>
        <w:t>Average monthly income in the current filter context.</w:t>
      </w:r>
    </w:p>
    <w:p>
      <w:pPr>
        <w:spacing w:after="60"/>
        <w:ind w:left="230"/>
      </w:pPr>
      <w:r>
        <w:rPr>
          <w:b/>
          <w:color w:val="006B33"/>
          <w:sz w:val="20"/>
        </w:rPr>
        <w:t xml:space="preserve">How it works:  </w:t>
      </w:r>
      <w:r>
        <w:rPr>
          <w:sz w:val="20"/>
        </w:rPr>
        <w:t>Plain AVERAGE; the filter context does the work.</w:t>
      </w:r>
    </w:p>
    <w:p>
      <w:pPr>
        <w:spacing w:after="60"/>
        <w:ind w:left="230"/>
      </w:pPr>
      <w:r>
        <w:rPr>
          <w:b/>
          <w:color w:val="006B33"/>
          <w:sz w:val="20"/>
        </w:rPr>
        <w:t xml:space="preserve">Used by:  </w:t>
      </w:r>
      <w:r>
        <w:rPr>
          <w:sz w:val="20"/>
        </w:rPr>
        <w:t>Tooltips and tables.</w:t>
      </w:r>
    </w:p>
    <w:p>
      <w:pPr>
        <w:spacing w:after="60"/>
        <w:ind w:left="230"/>
      </w:pPr>
      <w:r>
        <w:rPr>
          <w:b/>
          <w:color w:val="006B33"/>
          <w:sz w:val="20"/>
        </w:rPr>
        <w:t xml:space="preserve">Format string:  </w:t>
      </w:r>
      <w:r>
        <w:rPr>
          <w:sz w:val="20"/>
        </w:rPr>
        <w:t>"$"#,0</w:t>
      </w:r>
    </w:p>
    <w:p>
      <w:pPr>
        <w:spacing w:after="40"/>
      </w:pPr>
    </w:p>
    <w:p>
      <w:pPr>
        <w:pStyle w:val="Heading3"/>
      </w:pPr>
      <w:r>
        <w:t>Avg Income Leavers</w:t>
      </w:r>
    </w:p>
    <w:p>
      <w:pPr>
        <w:spacing w:before="60" w:after="120"/>
        <w:ind w:left="230"/>
        <w:shd w:val="clear" w:fill="F2F5F9"/>
      </w:pPr>
      <w:r>
        <w:rPr>
          <w:rFonts w:ascii="Consolas" w:hAnsi="Consolas"/>
          <w:color w:val="1A3046"/>
          <w:sz w:val="17"/>
        </w:rPr>
        <w:t>VAR _avg = CALCULATE ( AVERAGE ( FactEmployee[MonthlyIncome] ), FactEmployee[Attrition] = "Yes" )</w:t>
        <w:br/>
        <w:t>RETURN _avg</w:t>
      </w:r>
    </w:p>
    <w:p>
      <w:pPr>
        <w:spacing w:after="60"/>
        <w:ind w:left="230"/>
      </w:pPr>
      <w:r>
        <w:rPr>
          <w:b/>
          <w:color w:val="006B33"/>
          <w:sz w:val="20"/>
        </w:rPr>
        <w:t xml:space="preserve">What it is:  </w:t>
      </w:r>
      <w:r>
        <w:rPr>
          <w:sz w:val="20"/>
        </w:rPr>
        <w:t>Average income of the people who left.</w:t>
      </w:r>
    </w:p>
    <w:p>
      <w:pPr>
        <w:spacing w:after="60"/>
        <w:ind w:left="230"/>
      </w:pPr>
      <w:r>
        <w:rPr>
          <w:b/>
          <w:color w:val="006B33"/>
          <w:sz w:val="20"/>
        </w:rPr>
        <w:t xml:space="preserve">How it works:  </w:t>
      </w:r>
      <w:r>
        <w:rPr>
          <w:sz w:val="20"/>
        </w:rPr>
        <w:t>CALCULATE narrows AVERAGE to the leaver population only.</w:t>
      </w:r>
    </w:p>
    <w:p>
      <w:pPr>
        <w:spacing w:after="60"/>
        <w:ind w:left="230"/>
      </w:pPr>
      <w:r>
        <w:rPr>
          <w:b/>
          <w:color w:val="006B33"/>
          <w:sz w:val="20"/>
        </w:rPr>
        <w:t xml:space="preserve">Used by:  </w:t>
      </w:r>
      <w:r>
        <w:rPr>
          <w:sz w:val="20"/>
        </w:rPr>
        <w:t>KPI card on page 1, the pay-gap measures, and the replacement-cost calculation.</w:t>
      </w:r>
    </w:p>
    <w:p>
      <w:pPr>
        <w:spacing w:after="60"/>
        <w:ind w:left="230"/>
      </w:pPr>
      <w:r>
        <w:rPr>
          <w:b/>
          <w:color w:val="006B33"/>
          <w:sz w:val="20"/>
        </w:rPr>
        <w:t xml:space="preserve">Format string:  </w:t>
      </w:r>
      <w:r>
        <w:rPr>
          <w:sz w:val="20"/>
        </w:rPr>
        <w:t>"$"#,0</w:t>
      </w:r>
    </w:p>
    <w:p>
      <w:pPr>
        <w:spacing w:after="40"/>
      </w:pPr>
    </w:p>
    <w:p>
      <w:pPr>
        <w:pStyle w:val="Heading3"/>
      </w:pPr>
      <w:r>
        <w:t>Avg Income Stayers</w:t>
      </w:r>
    </w:p>
    <w:p>
      <w:pPr>
        <w:spacing w:before="60" w:after="120"/>
        <w:ind w:left="230"/>
        <w:shd w:val="clear" w:fill="F2F5F9"/>
      </w:pPr>
      <w:r>
        <w:rPr>
          <w:rFonts w:ascii="Consolas" w:hAnsi="Consolas"/>
          <w:color w:val="1A3046"/>
          <w:sz w:val="17"/>
        </w:rPr>
        <w:t>VAR _avg = CALCULATE ( AVERAGE ( FactEmployee[MonthlyIncome] ), FactEmployee[Attrition] = "No" )</w:t>
        <w:br/>
        <w:t>RETURN _avg</w:t>
      </w:r>
    </w:p>
    <w:p>
      <w:pPr>
        <w:spacing w:after="60"/>
        <w:ind w:left="230"/>
      </w:pPr>
      <w:r>
        <w:rPr>
          <w:b/>
          <w:color w:val="006B33"/>
          <w:sz w:val="20"/>
        </w:rPr>
        <w:t xml:space="preserve">What it is:  </w:t>
      </w:r>
      <w:r>
        <w:rPr>
          <w:sz w:val="20"/>
        </w:rPr>
        <w:t>Average income of the people who stayed.</w:t>
      </w:r>
    </w:p>
    <w:p>
      <w:pPr>
        <w:spacing w:after="60"/>
        <w:ind w:left="230"/>
      </w:pPr>
      <w:r>
        <w:rPr>
          <w:b/>
          <w:color w:val="006B33"/>
          <w:sz w:val="20"/>
        </w:rPr>
        <w:t xml:space="preserve">How it works:  </w:t>
      </w:r>
      <w:r>
        <w:rPr>
          <w:sz w:val="20"/>
        </w:rPr>
        <w:t>The mirror of the previous measure.</w:t>
      </w:r>
    </w:p>
    <w:p>
      <w:pPr>
        <w:spacing w:after="60"/>
        <w:ind w:left="230"/>
      </w:pPr>
      <w:r>
        <w:rPr>
          <w:b/>
          <w:color w:val="006B33"/>
          <w:sz w:val="20"/>
        </w:rPr>
        <w:t xml:space="preserve">Used by:  </w:t>
      </w:r>
      <w:r>
        <w:rPr>
          <w:sz w:val="20"/>
        </w:rPr>
        <w:t>Pay-gap comparison.</w:t>
      </w:r>
    </w:p>
    <w:p>
      <w:pPr>
        <w:spacing w:after="60"/>
        <w:ind w:left="230"/>
      </w:pPr>
      <w:r>
        <w:rPr>
          <w:b/>
          <w:color w:val="006B33"/>
          <w:sz w:val="20"/>
        </w:rPr>
        <w:t xml:space="preserve">Format string:  </w:t>
      </w:r>
      <w:r>
        <w:rPr>
          <w:sz w:val="20"/>
        </w:rPr>
        <w:t>"$"#,0</w:t>
      </w:r>
    </w:p>
    <w:p>
      <w:pPr>
        <w:spacing w:after="40"/>
      </w:pPr>
    </w:p>
    <w:p>
      <w:pPr>
        <w:pStyle w:val="Heading3"/>
      </w:pPr>
      <w:r>
        <w:t>Income Gap (Stayers - Leavers)</w:t>
      </w:r>
    </w:p>
    <w:p>
      <w:pPr>
        <w:spacing w:before="60" w:after="120"/>
        <w:ind w:left="230"/>
        <w:shd w:val="clear" w:fill="F2F5F9"/>
      </w:pPr>
      <w:r>
        <w:rPr>
          <w:rFonts w:ascii="Consolas" w:hAnsi="Consolas"/>
          <w:color w:val="1A3046"/>
          <w:sz w:val="17"/>
        </w:rPr>
        <w:t>VAR _stay = [Avg Income Stayers]</w:t>
        <w:br/>
        <w:t>VAR _leave = [Avg Income Leavers]</w:t>
        <w:br/>
        <w:t>RETURN _stay - _leave</w:t>
      </w:r>
    </w:p>
    <w:p>
      <w:pPr>
        <w:spacing w:after="60"/>
        <w:ind w:left="230"/>
      </w:pPr>
      <w:r>
        <w:rPr>
          <w:b/>
          <w:color w:val="006B33"/>
          <w:sz w:val="20"/>
        </w:rPr>
        <w:t xml:space="preserve">What it is:  </w:t>
      </w:r>
      <w:r>
        <w:rPr>
          <w:sz w:val="20"/>
        </w:rPr>
        <w:t>Absolute monthly pay gap between the two groups.</w:t>
      </w:r>
    </w:p>
    <w:p>
      <w:pPr>
        <w:spacing w:after="60"/>
        <w:ind w:left="230"/>
      </w:pPr>
      <w:r>
        <w:rPr>
          <w:b/>
          <w:color w:val="006B33"/>
          <w:sz w:val="20"/>
        </w:rPr>
        <w:t xml:space="preserve">How it works:  </w:t>
      </w:r>
      <w:r>
        <w:rPr>
          <w:sz w:val="20"/>
        </w:rPr>
        <w:t>Positive means the people leaving were the lower paid — the signal that attrition is pay-driven rather than culture-driven.</w:t>
      </w:r>
    </w:p>
    <w:p>
      <w:pPr>
        <w:spacing w:after="60"/>
        <w:ind w:left="230"/>
      </w:pPr>
      <w:r>
        <w:rPr>
          <w:b/>
          <w:color w:val="006B33"/>
          <w:sz w:val="20"/>
        </w:rPr>
        <w:t xml:space="preserve">Used by:  </w:t>
      </w:r>
      <w:r>
        <w:rPr>
          <w:sz w:val="20"/>
        </w:rPr>
        <w:t>Compensation analysis.</w:t>
      </w:r>
    </w:p>
    <w:p>
      <w:pPr>
        <w:spacing w:after="60"/>
        <w:ind w:left="230"/>
      </w:pPr>
      <w:r>
        <w:rPr>
          <w:b/>
          <w:color w:val="006B33"/>
          <w:sz w:val="20"/>
        </w:rPr>
        <w:t xml:space="preserve">Format string:  </w:t>
      </w:r>
      <w:r>
        <w:rPr>
          <w:sz w:val="20"/>
        </w:rPr>
        <w:t>"$"#,0</w:t>
      </w:r>
    </w:p>
    <w:p>
      <w:pPr>
        <w:spacing w:after="40"/>
      </w:pPr>
    </w:p>
    <w:p>
      <w:pPr>
        <w:pStyle w:val="Heading3"/>
      </w:pPr>
      <w:r>
        <w:t>Income Gap %</w:t>
      </w:r>
    </w:p>
    <w:p>
      <w:pPr>
        <w:spacing w:before="60" w:after="120"/>
        <w:ind w:left="230"/>
        <w:shd w:val="clear" w:fill="F2F5F9"/>
      </w:pPr>
      <w:r>
        <w:rPr>
          <w:rFonts w:ascii="Consolas" w:hAnsi="Consolas"/>
          <w:color w:val="1A3046"/>
          <w:sz w:val="17"/>
        </w:rPr>
        <w:t>VAR _gap = [Income Gap (Stayers - Leavers)]</w:t>
        <w:br/>
        <w:t>VAR _stay = [Avg Income Stayers]</w:t>
        <w:br/>
        <w:t>RETURN DIVIDE ( _gap, _stay )</w:t>
      </w:r>
    </w:p>
    <w:p>
      <w:pPr>
        <w:spacing w:after="60"/>
        <w:ind w:left="230"/>
      </w:pPr>
      <w:r>
        <w:rPr>
          <w:b/>
          <w:color w:val="006B33"/>
          <w:sz w:val="20"/>
        </w:rPr>
        <w:t xml:space="preserve">What it is:  </w:t>
      </w:r>
      <w:r>
        <w:rPr>
          <w:sz w:val="20"/>
        </w:rPr>
        <w:t>The same gap relative to the stayer average.</w:t>
      </w:r>
    </w:p>
    <w:p>
      <w:pPr>
        <w:spacing w:after="60"/>
        <w:ind w:left="230"/>
      </w:pPr>
      <w:r>
        <w:rPr>
          <w:b/>
          <w:color w:val="006B33"/>
          <w:sz w:val="20"/>
        </w:rPr>
        <w:t xml:space="preserve">How it works:  </w:t>
      </w:r>
      <w:r>
        <w:rPr>
          <w:sz w:val="20"/>
        </w:rPr>
        <w:t>Expressing it as a share lets roles on very different pay scales be compared on one axis.</w:t>
      </w:r>
    </w:p>
    <w:p>
      <w:pPr>
        <w:spacing w:after="60"/>
        <w:ind w:left="230"/>
      </w:pPr>
      <w:r>
        <w:rPr>
          <w:b/>
          <w:color w:val="006B33"/>
          <w:sz w:val="20"/>
        </w:rPr>
        <w:t xml:space="preserve">Used by:  </w:t>
      </w:r>
      <w:r>
        <w:rPr>
          <w:sz w:val="20"/>
        </w:rPr>
        <w:t>Compensation analysis.</w:t>
      </w:r>
    </w:p>
    <w:p>
      <w:pPr>
        <w:spacing w:after="60"/>
        <w:ind w:left="230"/>
      </w:pPr>
      <w:r>
        <w:rPr>
          <w:b/>
          <w:color w:val="006B33"/>
          <w:sz w:val="20"/>
        </w:rPr>
        <w:t xml:space="preserve">Format string:  </w:t>
      </w:r>
      <w:r>
        <w:rPr>
          <w:sz w:val="20"/>
        </w:rPr>
        <w:t>0.0%;-0.0%;0.0%</w:t>
      </w:r>
    </w:p>
    <w:p>
      <w:pPr>
        <w:spacing w:after="40"/>
      </w:pPr>
    </w:p>
    <w:p>
      <w:pPr>
        <w:pStyle w:val="Heading3"/>
      </w:pPr>
      <w:r>
        <w:t>Estimated Replacement Cost</w:t>
      </w:r>
    </w:p>
    <w:p>
      <w:pPr>
        <w:spacing w:before="60" w:after="120"/>
        <w:ind w:left="230"/>
        <w:shd w:val="clear" w:fill="F2F5F9"/>
      </w:pPr>
      <w:r>
        <w:rPr>
          <w:rFonts w:ascii="Consolas" w:hAnsi="Consolas"/>
          <w:color w:val="1A3046"/>
          <w:sz w:val="17"/>
        </w:rPr>
        <w:t>VAR _costPerLeaver = [Avg Income Leavers] * 6</w:t>
        <w:br/>
        <w:t>VAR _leavers = [Leavers]</w:t>
        <w:br/>
        <w:t>RETURN _costPerLeaver * _leavers</w:t>
      </w:r>
    </w:p>
    <w:p>
      <w:pPr>
        <w:spacing w:after="60"/>
        <w:ind w:left="230"/>
      </w:pPr>
      <w:r>
        <w:rPr>
          <w:b/>
          <w:color w:val="006B33"/>
          <w:sz w:val="20"/>
        </w:rPr>
        <w:t xml:space="preserve">What it is:  </w:t>
      </w:r>
      <w:r>
        <w:rPr>
          <w:sz w:val="20"/>
        </w:rPr>
        <w:t>What the attrition costs to backfill.</w:t>
      </w:r>
    </w:p>
    <w:p>
      <w:pPr>
        <w:spacing w:after="60"/>
        <w:ind w:left="230"/>
      </w:pPr>
      <w:r>
        <w:rPr>
          <w:b/>
          <w:color w:val="006B33"/>
          <w:sz w:val="20"/>
        </w:rPr>
        <w:t xml:space="preserve">How it works:  </w:t>
      </w:r>
      <w:r>
        <w:rPr>
          <w:sz w:val="20"/>
        </w:rPr>
        <w:t>Leavers × six months of the leavers' average salary. The six-month multiplier is an assumption, stated here so it can be challenged or replaced with the company's own figure.</w:t>
      </w:r>
    </w:p>
    <w:p>
      <w:pPr>
        <w:spacing w:after="60"/>
        <w:ind w:left="230"/>
      </w:pPr>
      <w:r>
        <w:rPr>
          <w:b/>
          <w:color w:val="006B33"/>
          <w:sz w:val="20"/>
        </w:rPr>
        <w:t xml:space="preserve">Used by:  </w:t>
      </w:r>
      <w:r>
        <w:rPr>
          <w:sz w:val="20"/>
        </w:rPr>
        <w:t>KPI card on page 1; the same logic drives Cost Saved in the scenario.</w:t>
      </w:r>
    </w:p>
    <w:p>
      <w:pPr>
        <w:spacing w:after="60"/>
        <w:ind w:left="230"/>
      </w:pPr>
      <w:r>
        <w:rPr>
          <w:b/>
          <w:color w:val="006B33"/>
          <w:sz w:val="20"/>
        </w:rPr>
        <w:t xml:space="preserve">Format string:  </w:t>
      </w:r>
      <w:r>
        <w:rPr>
          <w:sz w:val="20"/>
        </w:rPr>
        <w:t>"$"#,0</w:t>
      </w:r>
    </w:p>
    <w:p>
      <w:pPr>
        <w:spacing w:after="40"/>
      </w:pPr>
    </w:p>
    <w:p>
      <w:pPr>
        <w:pStyle w:val="Heading3"/>
      </w:pPr>
      <w:r>
        <w:t>Attrition Rate OT %</w:t>
      </w:r>
    </w:p>
    <w:p>
      <w:pPr>
        <w:spacing w:before="60" w:after="120"/>
        <w:ind w:left="230"/>
        <w:shd w:val="clear" w:fill="F2F5F9"/>
      </w:pPr>
      <w:r>
        <w:rPr>
          <w:rFonts w:ascii="Consolas" w:hAnsi="Consolas"/>
          <w:color w:val="1A3046"/>
          <w:sz w:val="17"/>
        </w:rPr>
        <w:t>VAR _l = CALCULATE ( [Leavers], FactEmployee[OverTime] = "Yes" )</w:t>
        <w:br/>
        <w:t>VAR _t = CALCULATE ( [Total Employees], FactEmployee[OverTime] = "Yes" )</w:t>
        <w:br/>
        <w:t>RETURN DIVIDE ( _l, _t )</w:t>
      </w:r>
    </w:p>
    <w:p>
      <w:pPr>
        <w:spacing w:after="60"/>
        <w:ind w:left="230"/>
      </w:pPr>
      <w:r>
        <w:rPr>
          <w:b/>
          <w:color w:val="006B33"/>
          <w:sz w:val="20"/>
        </w:rPr>
        <w:t xml:space="preserve">What it is:  </w:t>
      </w:r>
      <w:r>
        <w:rPr>
          <w:sz w:val="20"/>
        </w:rPr>
        <w:t>Attrition among employees who work overtime.</w:t>
      </w:r>
    </w:p>
    <w:p>
      <w:pPr>
        <w:spacing w:after="60"/>
        <w:ind w:left="230"/>
      </w:pPr>
      <w:r>
        <w:rPr>
          <w:b/>
          <w:color w:val="006B33"/>
          <w:sz w:val="20"/>
        </w:rPr>
        <w:t xml:space="preserve">How it works:  </w:t>
      </w:r>
      <w:r>
        <w:rPr>
          <w:sz w:val="20"/>
        </w:rPr>
        <w:t>Two CALCULATEs filtered to OverTime = Yes, then DIVIDE. Written as its own measure because it is needed both on a card and inside the scenario model.</w:t>
      </w:r>
    </w:p>
    <w:p>
      <w:pPr>
        <w:spacing w:after="60"/>
        <w:ind w:left="230"/>
      </w:pPr>
      <w:r>
        <w:rPr>
          <w:b/>
          <w:color w:val="006B33"/>
          <w:sz w:val="20"/>
        </w:rPr>
        <w:t xml:space="preserve">Used by:  </w:t>
      </w:r>
      <w:r>
        <w:rPr>
          <w:sz w:val="20"/>
        </w:rPr>
        <w:t>KPI card on page 2 and the what-if simulation.</w:t>
      </w:r>
    </w:p>
    <w:p>
      <w:pPr>
        <w:spacing w:after="60"/>
        <w:ind w:left="230"/>
      </w:pPr>
      <w:r>
        <w:rPr>
          <w:b/>
          <w:color w:val="006B33"/>
          <w:sz w:val="20"/>
        </w:rPr>
        <w:t xml:space="preserve">Format string:  </w:t>
      </w:r>
      <w:r>
        <w:rPr>
          <w:sz w:val="20"/>
        </w:rPr>
        <w:t>0.0%;-0.0%;0.0%</w:t>
      </w:r>
    </w:p>
    <w:p>
      <w:pPr>
        <w:spacing w:after="40"/>
      </w:pPr>
    </w:p>
    <w:p>
      <w:pPr>
        <w:pStyle w:val="Heading3"/>
      </w:pPr>
      <w:r>
        <w:t>Attrition Rate No-OT %</w:t>
      </w:r>
    </w:p>
    <w:p>
      <w:pPr>
        <w:spacing w:before="60" w:after="120"/>
        <w:ind w:left="230"/>
        <w:shd w:val="clear" w:fill="F2F5F9"/>
      </w:pPr>
      <w:r>
        <w:rPr>
          <w:rFonts w:ascii="Consolas" w:hAnsi="Consolas"/>
          <w:color w:val="1A3046"/>
          <w:sz w:val="17"/>
        </w:rPr>
        <w:t>VAR _l = CALCULATE ( [Leavers], FactEmployee[OverTime] = "No" )</w:t>
        <w:br/>
        <w:t>VAR _t = CALCULATE ( [Total Employees], FactEmployee[OverTime] = "No" )</w:t>
        <w:br/>
        <w:t>RETURN DIVIDE ( _l, _t )</w:t>
      </w:r>
    </w:p>
    <w:p>
      <w:pPr>
        <w:spacing w:after="60"/>
        <w:ind w:left="230"/>
      </w:pPr>
      <w:r>
        <w:rPr>
          <w:b/>
          <w:color w:val="006B33"/>
          <w:sz w:val="20"/>
        </w:rPr>
        <w:t xml:space="preserve">What it is:  </w:t>
      </w:r>
      <w:r>
        <w:rPr>
          <w:sz w:val="20"/>
        </w:rPr>
        <w:t>Attrition among employees who do not work overtime.</w:t>
      </w:r>
    </w:p>
    <w:p>
      <w:pPr>
        <w:spacing w:after="60"/>
        <w:ind w:left="230"/>
      </w:pPr>
      <w:r>
        <w:rPr>
          <w:b/>
          <w:color w:val="006B33"/>
          <w:sz w:val="20"/>
        </w:rPr>
        <w:t xml:space="preserve">How it works:  </w:t>
      </w:r>
      <w:r>
        <w:rPr>
          <w:sz w:val="20"/>
        </w:rPr>
        <w:t>The counterpart. It also doubles as the realistic target rate: it is what the company already achieves for most of its staff.</w:t>
      </w:r>
    </w:p>
    <w:p>
      <w:pPr>
        <w:spacing w:after="60"/>
        <w:ind w:left="230"/>
      </w:pPr>
      <w:r>
        <w:rPr>
          <w:b/>
          <w:color w:val="006B33"/>
          <w:sz w:val="20"/>
        </w:rPr>
        <w:t xml:space="preserve">Used by:  </w:t>
      </w:r>
      <w:r>
        <w:rPr>
          <w:sz w:val="20"/>
        </w:rPr>
        <w:t>KPI card on page 2 and the what-if simulation.</w:t>
      </w:r>
    </w:p>
    <w:p>
      <w:pPr>
        <w:spacing w:after="60"/>
        <w:ind w:left="230"/>
      </w:pPr>
      <w:r>
        <w:rPr>
          <w:b/>
          <w:color w:val="006B33"/>
          <w:sz w:val="20"/>
        </w:rPr>
        <w:t xml:space="preserve">Format string:  </w:t>
      </w:r>
      <w:r>
        <w:rPr>
          <w:sz w:val="20"/>
        </w:rPr>
        <w:t>0.0%;-0.0%;0.0%</w:t>
      </w:r>
    </w:p>
    <w:p>
      <w:pPr>
        <w:spacing w:after="40"/>
      </w:pPr>
    </w:p>
    <w:p>
      <w:pPr>
        <w:pStyle w:val="Heading3"/>
      </w:pPr>
      <w:r>
        <w:t>OverTime Risk Multiplier</w:t>
      </w:r>
    </w:p>
    <w:p>
      <w:pPr>
        <w:spacing w:before="60" w:after="120"/>
        <w:ind w:left="230"/>
        <w:shd w:val="clear" w:fill="F2F5F9"/>
      </w:pPr>
      <w:r>
        <w:rPr>
          <w:rFonts w:ascii="Consolas" w:hAnsi="Consolas"/>
          <w:color w:val="1A3046"/>
          <w:sz w:val="17"/>
        </w:rPr>
        <w:t>VAR _ot = [Attrition Rate OT %]</w:t>
        <w:br/>
        <w:t>VAR _noOt = [Attrition Rate No-OT %]</w:t>
        <w:br/>
        <w:t>RETURN DIVIDE ( _ot, _noOt )</w:t>
      </w:r>
    </w:p>
    <w:p>
      <w:pPr>
        <w:spacing w:after="60"/>
        <w:ind w:left="230"/>
      </w:pPr>
      <w:r>
        <w:rPr>
          <w:b/>
          <w:color w:val="006B33"/>
          <w:sz w:val="20"/>
        </w:rPr>
        <w:t xml:space="preserve">What it is:  </w:t>
      </w:r>
      <w:r>
        <w:rPr>
          <w:sz w:val="20"/>
        </w:rPr>
        <w:t>How many times more likely an overtime worker is to leave.</w:t>
      </w:r>
    </w:p>
    <w:p>
      <w:pPr>
        <w:spacing w:after="60"/>
        <w:ind w:left="230"/>
      </w:pPr>
      <w:r>
        <w:rPr>
          <w:b/>
          <w:color w:val="006B33"/>
          <w:sz w:val="20"/>
        </w:rPr>
        <w:t xml:space="preserve">How it works:  </w:t>
      </w:r>
      <w:r>
        <w:rPr>
          <w:sz w:val="20"/>
        </w:rPr>
        <w:t>A ratio of the two rates. A single number like 2.9x lands with a non-analyst faster than two separate percentages do.</w:t>
      </w:r>
    </w:p>
    <w:p>
      <w:pPr>
        <w:spacing w:after="60"/>
        <w:ind w:left="230"/>
      </w:pPr>
      <w:r>
        <w:rPr>
          <w:b/>
          <w:color w:val="006B33"/>
          <w:sz w:val="20"/>
        </w:rPr>
        <w:t xml:space="preserve">Used by:  </w:t>
      </w:r>
      <w:r>
        <w:rPr>
          <w:sz w:val="20"/>
        </w:rPr>
        <w:t>KPI card on page 2.</w:t>
      </w:r>
    </w:p>
    <w:p>
      <w:pPr>
        <w:spacing w:after="60"/>
        <w:ind w:left="230"/>
      </w:pPr>
      <w:r>
        <w:rPr>
          <w:b/>
          <w:color w:val="006B33"/>
          <w:sz w:val="20"/>
        </w:rPr>
        <w:t xml:space="preserve">Format string:  </w:t>
      </w:r>
      <w:r>
        <w:rPr>
          <w:sz w:val="20"/>
        </w:rPr>
        <w:t>0.0"x"</w:t>
      </w:r>
    </w:p>
    <w:p>
      <w:pPr>
        <w:spacing w:after="40"/>
      </w:pPr>
    </w:p>
    <w:p>
      <w:pPr>
        <w:pStyle w:val="Heading3"/>
      </w:pPr>
      <w:r>
        <w:t>% of Total Leavers</w:t>
      </w:r>
    </w:p>
    <w:p>
      <w:pPr>
        <w:spacing w:before="60" w:after="120"/>
        <w:ind w:left="230"/>
        <w:shd w:val="clear" w:fill="F2F5F9"/>
      </w:pPr>
      <w:r>
        <w:rPr>
          <w:rFonts w:ascii="Consolas" w:hAnsi="Consolas"/>
          <w:color w:val="1A3046"/>
          <w:sz w:val="17"/>
        </w:rPr>
        <w:t>VAR _segmentLeavers = [Leavers]</w:t>
        <w:br/>
        <w:t>VAR _allLeavers = CALCULATE ( [Leavers], REMOVEFILTERS () )</w:t>
        <w:br/>
        <w:t>RETURN DIVIDE ( _segmentLeavers, _allLeavers )</w:t>
      </w:r>
    </w:p>
    <w:p>
      <w:pPr>
        <w:spacing w:after="60"/>
        <w:ind w:left="230"/>
      </w:pPr>
      <w:r>
        <w:rPr>
          <w:b/>
          <w:color w:val="006B33"/>
          <w:sz w:val="20"/>
        </w:rPr>
        <w:t xml:space="preserve">What it is:  </w:t>
      </w:r>
      <w:r>
        <w:rPr>
          <w:sz w:val="20"/>
        </w:rPr>
        <w:t>The selected segment's share of all leavers.</w:t>
      </w:r>
    </w:p>
    <w:p>
      <w:pPr>
        <w:spacing w:after="60"/>
        <w:ind w:left="230"/>
      </w:pPr>
      <w:r>
        <w:rPr>
          <w:b/>
          <w:color w:val="006B33"/>
          <w:sz w:val="20"/>
        </w:rPr>
        <w:t xml:space="preserve">How it works:  </w:t>
      </w:r>
      <w:r>
        <w:rPr>
          <w:sz w:val="20"/>
        </w:rPr>
        <w:t>The numerator respects the visual's filters; REMOVEFILTERS on the denominator keeps it at the company total, so the result is a true contribution share.</w:t>
      </w:r>
    </w:p>
    <w:p>
      <w:pPr>
        <w:spacing w:after="60"/>
        <w:ind w:left="230"/>
      </w:pPr>
      <w:r>
        <w:rPr>
          <w:b/>
          <w:color w:val="006B33"/>
          <w:sz w:val="20"/>
        </w:rPr>
        <w:t xml:space="preserve">Used by:  </w:t>
      </w:r>
      <w:r>
        <w:rPr>
          <w:sz w:val="20"/>
        </w:rPr>
        <w:t>KPI card on page 2; shows that 28% of staff produce 54% of the losses.</w:t>
      </w:r>
    </w:p>
    <w:p>
      <w:pPr>
        <w:spacing w:after="60"/>
        <w:ind w:left="230"/>
      </w:pPr>
      <w:r>
        <w:rPr>
          <w:b/>
          <w:color w:val="006B33"/>
          <w:sz w:val="20"/>
        </w:rPr>
        <w:t xml:space="preserve">Format string:  </w:t>
      </w:r>
      <w:r>
        <w:rPr>
          <w:sz w:val="20"/>
        </w:rPr>
        <w:t>0.0%;-0.0%;0.0%</w:t>
      </w:r>
    </w:p>
    <w:p>
      <w:pPr>
        <w:spacing w:after="40"/>
      </w:pPr>
    </w:p>
    <w:p>
      <w:pPr>
        <w:pStyle w:val="Heading3"/>
      </w:pPr>
      <w:r>
        <w:t>High-Risk Headcount</w:t>
      </w:r>
    </w:p>
    <w:p>
      <w:pPr>
        <w:spacing w:before="60" w:after="120"/>
        <w:ind w:left="230"/>
        <w:shd w:val="clear" w:fill="F2F5F9"/>
      </w:pPr>
      <w:r>
        <w:rPr>
          <w:rFonts w:ascii="Consolas" w:hAnsi="Consolas"/>
          <w:color w:val="1A3046"/>
          <w:sz w:val="17"/>
        </w:rPr>
        <w:t>VAR _risk = CALCULATE ( COUNTROWS ( FactEmployee ), FactEmployee[Attrition] = "No", FactEmployee[OverTime] = "Yes", FactEmployee[JobLevel] = 1 )</w:t>
        <w:br/>
        <w:t>RETURN _risk</w:t>
      </w:r>
    </w:p>
    <w:p>
      <w:pPr>
        <w:spacing w:after="60"/>
        <w:ind w:left="230"/>
      </w:pPr>
      <w:r>
        <w:rPr>
          <w:b/>
          <w:color w:val="006B33"/>
          <w:sz w:val="20"/>
        </w:rPr>
        <w:t xml:space="preserve">What it is:  </w:t>
      </w:r>
      <w:r>
        <w:rPr>
          <w:sz w:val="20"/>
        </w:rPr>
        <w:t>Employees still at the company who match the highest-risk profile.</w:t>
      </w:r>
    </w:p>
    <w:p>
      <w:pPr>
        <w:spacing w:after="60"/>
        <w:ind w:left="230"/>
      </w:pPr>
      <w:r>
        <w:rPr>
          <w:b/>
          <w:color w:val="006B33"/>
          <w:sz w:val="20"/>
        </w:rPr>
        <w:t xml:space="preserve">How it works:  </w:t>
      </w:r>
      <w:r>
        <w:rPr>
          <w:sz w:val="20"/>
        </w:rPr>
        <w:t>Three filters in one CALCULATE: still employed, works overtime, job level 1. This is the actionable output of the whole analysis — a list HR can work through.</w:t>
      </w:r>
    </w:p>
    <w:p>
      <w:pPr>
        <w:spacing w:after="60"/>
        <w:ind w:left="230"/>
      </w:pPr>
      <w:r>
        <w:rPr>
          <w:b/>
          <w:color w:val="006B33"/>
          <w:sz w:val="20"/>
        </w:rPr>
        <w:t xml:space="preserve">Used by:  </w:t>
      </w:r>
      <w:r>
        <w:rPr>
          <w:sz w:val="20"/>
        </w:rPr>
        <w:t>KPI card on page 2; the same filters drive the watchlist table on page 3.</w:t>
      </w:r>
    </w:p>
    <w:p>
      <w:pPr>
        <w:spacing w:after="60"/>
        <w:ind w:left="230"/>
      </w:pPr>
      <w:r>
        <w:rPr>
          <w:b/>
          <w:color w:val="006B33"/>
          <w:sz w:val="20"/>
        </w:rPr>
        <w:t xml:space="preserve">Format string:  </w:t>
      </w:r>
      <w:r>
        <w:rPr>
          <w:sz w:val="20"/>
        </w:rPr>
        <w:t>#,0</w:t>
      </w:r>
    </w:p>
    <w:p>
      <w:pPr>
        <w:spacing w:after="40"/>
      </w:pPr>
    </w:p>
    <w:p>
      <w:pPr>
        <w:pStyle w:val="Heading3"/>
      </w:pPr>
      <w:r>
        <w:t>Avg Job Satisfaction</w:t>
      </w:r>
    </w:p>
    <w:p>
      <w:pPr>
        <w:spacing w:before="60" w:after="120"/>
        <w:ind w:left="230"/>
        <w:shd w:val="clear" w:fill="F2F5F9"/>
      </w:pPr>
      <w:r>
        <w:rPr>
          <w:rFonts w:ascii="Consolas" w:hAnsi="Consolas"/>
          <w:color w:val="1A3046"/>
          <w:sz w:val="17"/>
        </w:rPr>
        <w:t>AVERAGE ( FactEmployee[JobSatisfaction] )</w:t>
      </w:r>
    </w:p>
    <w:p>
      <w:pPr>
        <w:spacing w:after="60"/>
        <w:ind w:left="230"/>
      </w:pPr>
      <w:r>
        <w:rPr>
          <w:b/>
          <w:color w:val="006B33"/>
          <w:sz w:val="20"/>
        </w:rPr>
        <w:t xml:space="preserve">What it is:  </w:t>
      </w:r>
      <w:r>
        <w:rPr>
          <w:sz w:val="20"/>
        </w:rPr>
        <w:t>Mean job-satisfaction score (1-4).</w:t>
      </w:r>
    </w:p>
    <w:p>
      <w:pPr>
        <w:spacing w:after="60"/>
        <w:ind w:left="230"/>
      </w:pPr>
      <w:r>
        <w:rPr>
          <w:b/>
          <w:color w:val="006B33"/>
          <w:sz w:val="20"/>
        </w:rPr>
        <w:t xml:space="preserve">How it works:  </w:t>
      </w:r>
      <w:r>
        <w:rPr>
          <w:sz w:val="20"/>
        </w:rPr>
        <w:t>Plain AVERAGE.</w:t>
      </w:r>
    </w:p>
    <w:p>
      <w:pPr>
        <w:spacing w:after="60"/>
        <w:ind w:left="230"/>
      </w:pPr>
      <w:r>
        <w:rPr>
          <w:b/>
          <w:color w:val="006B33"/>
          <w:sz w:val="20"/>
        </w:rPr>
        <w:t xml:space="preserve">Used by:  </w:t>
      </w:r>
      <w:r>
        <w:rPr>
          <w:sz w:val="20"/>
        </w:rPr>
        <w:t>Tooltips.</w:t>
      </w:r>
    </w:p>
    <w:p>
      <w:pPr>
        <w:spacing w:after="60"/>
        <w:ind w:left="230"/>
      </w:pPr>
      <w:r>
        <w:rPr>
          <w:b/>
          <w:color w:val="006B33"/>
          <w:sz w:val="20"/>
        </w:rPr>
        <w:t xml:space="preserve">Format string:  </w:t>
      </w:r>
      <w:r>
        <w:rPr>
          <w:sz w:val="20"/>
        </w:rPr>
        <w:t>0.00</w:t>
      </w:r>
    </w:p>
    <w:p>
      <w:pPr>
        <w:spacing w:after="40"/>
      </w:pPr>
    </w:p>
    <w:p>
      <w:pPr>
        <w:pStyle w:val="Heading3"/>
      </w:pPr>
      <w:r>
        <w:t>Attrition Risk Flag</w:t>
      </w:r>
    </w:p>
    <w:p>
      <w:pPr>
        <w:spacing w:before="60" w:after="120"/>
        <w:ind w:left="230"/>
        <w:shd w:val="clear" w:fill="F2F5F9"/>
      </w:pPr>
      <w:r>
        <w:rPr>
          <w:rFonts w:ascii="Consolas" w:hAnsi="Consolas"/>
          <w:color w:val="1A3046"/>
          <w:sz w:val="17"/>
        </w:rPr>
        <w:t>VAR _delta = [Attrition vs Company (pp)]</w:t>
        <w:br/>
        <w:t>RETURN SWITCH ( TRUE (),</w:t>
        <w:br/>
        <w:t xml:space="preserve">    _delta &gt;= 0.10, "Critical", _delta &gt;= 0.03, "Elevated", _delta &lt;= -0.05, "Healthy", "Watch" )</w:t>
      </w:r>
    </w:p>
    <w:p>
      <w:pPr>
        <w:spacing w:after="60"/>
        <w:ind w:left="230"/>
      </w:pPr>
      <w:r>
        <w:rPr>
          <w:b/>
          <w:color w:val="006B33"/>
          <w:sz w:val="20"/>
        </w:rPr>
        <w:t xml:space="preserve">What it is:  </w:t>
      </w:r>
      <w:r>
        <w:rPr>
          <w:sz w:val="20"/>
        </w:rPr>
        <w:t>A text band: Critical / Elevated / Watch / Healthy.</w:t>
      </w:r>
    </w:p>
    <w:p>
      <w:pPr>
        <w:spacing w:after="60"/>
        <w:ind w:left="230"/>
      </w:pPr>
      <w:r>
        <w:rPr>
          <w:b/>
          <w:color w:val="006B33"/>
          <w:sz w:val="20"/>
        </w:rPr>
        <w:t xml:space="preserve">How it works:  </w:t>
      </w:r>
      <w:r>
        <w:rPr>
          <w:sz w:val="20"/>
        </w:rPr>
        <w:t>SWITCH(TRUE(), …) reads top to bottom and returns on the first match. Thresholds are set against the benchmark distance, not against absolute rates, so they stay meaningful if the company rate moves.</w:t>
      </w:r>
    </w:p>
    <w:p>
      <w:pPr>
        <w:spacing w:after="60"/>
        <w:ind w:left="230"/>
      </w:pPr>
      <w:r>
        <w:rPr>
          <w:b/>
          <w:color w:val="006B33"/>
          <w:sz w:val="20"/>
        </w:rPr>
        <w:t xml:space="preserve">Used by:  </w:t>
      </w:r>
      <w:r>
        <w:rPr>
          <w:sz w:val="20"/>
        </w:rPr>
        <w:t>Conditional icons and table formatting.</w:t>
      </w:r>
    </w:p>
    <w:p>
      <w:pPr>
        <w:spacing w:after="40"/>
      </w:pPr>
    </w:p>
    <w:p>
      <w:pPr>
        <w:pStyle w:val="Heading3"/>
      </w:pPr>
      <w:r>
        <w:t>Income Outlier Count (IQR)</w:t>
      </w:r>
    </w:p>
    <w:p>
      <w:pPr>
        <w:spacing w:before="60" w:after="120"/>
        <w:ind w:left="230"/>
        <w:shd w:val="clear" w:fill="F2F5F9"/>
      </w:pPr>
      <w:r>
        <w:rPr>
          <w:rFonts w:ascii="Consolas" w:hAnsi="Consolas"/>
          <w:color w:val="1A3046"/>
          <w:sz w:val="17"/>
        </w:rPr>
        <w:t>VAR _q1 = PERCENTILEX.INC ( ALL ( FactEmployee ), FactEmployee[MonthlyIncome], 0.25 )</w:t>
        <w:br/>
        <w:t>VAR _q3 = PERCENTILEX.INC ( ALL ( FactEmployee ), FactEmployee[MonthlyIncome], 0.75 )</w:t>
        <w:br/>
        <w:t>VAR _fence = _q3 + 1.5 * ( _q3 - _q1 )</w:t>
        <w:br/>
        <w:t>RETURN CALCULATE ( COUNTROWS ( FactEmployee ), FactEmployee[MonthlyIncome] &gt; _fence )</w:t>
      </w:r>
    </w:p>
    <w:p>
      <w:pPr>
        <w:spacing w:after="60"/>
        <w:ind w:left="230"/>
      </w:pPr>
      <w:r>
        <w:rPr>
          <w:b/>
          <w:color w:val="006B33"/>
          <w:sz w:val="20"/>
        </w:rPr>
        <w:t xml:space="preserve">What it is:  </w:t>
      </w:r>
      <w:r>
        <w:rPr>
          <w:sz w:val="20"/>
        </w:rPr>
        <w:t>How many employees sit above the statistical income outlier fence.</w:t>
      </w:r>
    </w:p>
    <w:p>
      <w:pPr>
        <w:spacing w:after="60"/>
        <w:ind w:left="230"/>
      </w:pPr>
      <w:r>
        <w:rPr>
          <w:b/>
          <w:color w:val="006B33"/>
          <w:sz w:val="20"/>
        </w:rPr>
        <w:t xml:space="preserve">How it works:  </w:t>
      </w:r>
      <w:r>
        <w:rPr>
          <w:sz w:val="20"/>
        </w:rPr>
        <w:t>Q1 and Q3 come from PERCENTILEX.INC over ALL(FactEmployee), so the fence is the population fence and does not move when the visual is sliced. The fence is the textbook Q3 + 1.5 × IQR.</w:t>
      </w:r>
    </w:p>
    <w:p>
      <w:pPr>
        <w:spacing w:after="60"/>
        <w:ind w:left="230"/>
      </w:pPr>
      <w:r>
        <w:rPr>
          <w:b/>
          <w:color w:val="006B33"/>
          <w:sz w:val="20"/>
        </w:rPr>
        <w:t xml:space="preserve">Used by:  </w:t>
      </w:r>
      <w:r>
        <w:rPr>
          <w:sz w:val="20"/>
        </w:rPr>
        <w:t>Outlier analysis for task 3.</w:t>
      </w:r>
    </w:p>
    <w:p>
      <w:pPr>
        <w:spacing w:after="60"/>
        <w:ind w:left="230"/>
      </w:pPr>
      <w:r>
        <w:rPr>
          <w:b/>
          <w:color w:val="006B33"/>
          <w:sz w:val="20"/>
        </w:rPr>
        <w:t xml:space="preserve">Format string:  </w:t>
      </w:r>
      <w:r>
        <w:rPr>
          <w:sz w:val="20"/>
        </w:rPr>
        <w:t>#,0</w:t>
      </w:r>
    </w:p>
    <w:p>
      <w:pPr>
        <w:spacing w:after="40"/>
      </w:pPr>
    </w:p>
    <w:p>
      <w:pPr>
        <w:pStyle w:val="Heading3"/>
      </w:pPr>
      <w:r>
        <w:t>Attrition Rate Income-Outliers %</w:t>
      </w:r>
    </w:p>
    <w:p>
      <w:pPr>
        <w:spacing w:before="60" w:after="120"/>
        <w:ind w:left="230"/>
        <w:shd w:val="clear" w:fill="F2F5F9"/>
      </w:pPr>
      <w:r>
        <w:rPr>
          <w:rFonts w:ascii="Consolas" w:hAnsi="Consolas"/>
          <w:color w:val="1A3046"/>
          <w:sz w:val="17"/>
        </w:rPr>
        <w:t>VAR _q1 = PERCENTILEX.INC ( ALL ( FactEmployee ), FactEmployee[MonthlyIncome], 0.25 )</w:t>
        <w:br/>
        <w:t>VAR _q3 = PERCENTILEX.INC ( ALL ( FactEmployee ), FactEmployee[MonthlyIncome], 0.75 )</w:t>
        <w:br/>
        <w:t>VAR _fence = _q3 + 1.5 * ( _q3 - _q1 )</w:t>
        <w:br/>
        <w:t>VAR _l = CALCULATE ( [Leavers], FactEmployee[MonthlyIncome] &gt; _fence )</w:t>
        <w:br/>
        <w:t>VAR _t = CALCULATE ( [Total Employees], FactEmployee[MonthlyIncome] &gt; _fence )</w:t>
        <w:br/>
        <w:t>RETURN DIVIDE ( _l, _t )</w:t>
      </w:r>
    </w:p>
    <w:p>
      <w:pPr>
        <w:spacing w:after="60"/>
        <w:ind w:left="230"/>
      </w:pPr>
      <w:r>
        <w:rPr>
          <w:b/>
          <w:color w:val="006B33"/>
          <w:sz w:val="20"/>
        </w:rPr>
        <w:t xml:space="preserve">What it is:  </w:t>
      </w:r>
      <w:r>
        <w:rPr>
          <w:sz w:val="20"/>
        </w:rPr>
        <w:t>Attrition among those top earners.</w:t>
      </w:r>
    </w:p>
    <w:p>
      <w:pPr>
        <w:spacing w:after="60"/>
        <w:ind w:left="230"/>
      </w:pPr>
      <w:r>
        <w:rPr>
          <w:b/>
          <w:color w:val="006B33"/>
          <w:sz w:val="20"/>
        </w:rPr>
        <w:t xml:space="preserve">How it works:  </w:t>
      </w:r>
      <w:r>
        <w:rPr>
          <w:sz w:val="20"/>
        </w:rPr>
        <w:t>The same fence, then the standard rate over that subset. The result — a rate far below the company average — is the evidence that retention budget aimed at top earners is wasted.</w:t>
      </w:r>
    </w:p>
    <w:p>
      <w:pPr>
        <w:spacing w:after="60"/>
        <w:ind w:left="230"/>
      </w:pPr>
      <w:r>
        <w:rPr>
          <w:b/>
          <w:color w:val="006B33"/>
          <w:sz w:val="20"/>
        </w:rPr>
        <w:t xml:space="preserve">Used by:  </w:t>
      </w:r>
      <w:r>
        <w:rPr>
          <w:sz w:val="20"/>
        </w:rPr>
        <w:t>Outlier analysis; quoted in the narrative.</w:t>
      </w:r>
    </w:p>
    <w:p>
      <w:pPr>
        <w:spacing w:after="60"/>
        <w:ind w:left="230"/>
      </w:pPr>
      <w:r>
        <w:rPr>
          <w:b/>
          <w:color w:val="006B33"/>
          <w:sz w:val="20"/>
        </w:rPr>
        <w:t xml:space="preserve">Format string:  </w:t>
      </w:r>
      <w:r>
        <w:rPr>
          <w:sz w:val="20"/>
        </w:rPr>
        <w:t>0.0%;-0.0%;0.0%</w:t>
      </w:r>
    </w:p>
    <w:p>
      <w:pPr>
        <w:spacing w:after="40"/>
      </w:pPr>
    </w:p>
    <w:p>
      <w:pPr>
        <w:pStyle w:val="Heading3"/>
      </w:pPr>
      <w:r>
        <w:t>OT Reduction Selected</w:t>
      </w:r>
    </w:p>
    <w:p>
      <w:pPr>
        <w:spacing w:before="60" w:after="120"/>
        <w:ind w:left="230"/>
        <w:shd w:val="clear" w:fill="F2F5F9"/>
      </w:pPr>
      <w:r>
        <w:rPr>
          <w:rFonts w:ascii="Consolas" w:hAnsi="Consolas"/>
          <w:color w:val="1A3046"/>
          <w:sz w:val="17"/>
        </w:rPr>
        <w:t>SELECTEDVALUE ( 'OT Reduction Scenario'[OT Reduction %], 0 )</w:t>
      </w:r>
    </w:p>
    <w:p>
      <w:pPr>
        <w:spacing w:after="60"/>
        <w:ind w:left="230"/>
      </w:pPr>
      <w:r>
        <w:rPr>
          <w:b/>
          <w:color w:val="006B33"/>
          <w:sz w:val="20"/>
        </w:rPr>
        <w:t xml:space="preserve">What it is:  </w:t>
      </w:r>
      <w:r>
        <w:rPr>
          <w:sz w:val="20"/>
        </w:rPr>
        <w:t>Reads the scenario slider.</w:t>
      </w:r>
    </w:p>
    <w:p>
      <w:pPr>
        <w:spacing w:after="60"/>
        <w:ind w:left="230"/>
      </w:pPr>
      <w:r>
        <w:rPr>
          <w:b/>
          <w:color w:val="006B33"/>
          <w:sz w:val="20"/>
        </w:rPr>
        <w:t xml:space="preserve">How it works:  </w:t>
      </w:r>
      <w:r>
        <w:rPr>
          <w:sz w:val="20"/>
        </w:rPr>
        <w:t>SELECTEDVALUE with a fallback of 0, so the page still works before anything is selected.</w:t>
      </w:r>
    </w:p>
    <w:p>
      <w:pPr>
        <w:spacing w:after="60"/>
        <w:ind w:left="230"/>
      </w:pPr>
      <w:r>
        <w:rPr>
          <w:b/>
          <w:color w:val="006B33"/>
          <w:sz w:val="20"/>
        </w:rPr>
        <w:t xml:space="preserve">Used by:  </w:t>
      </w:r>
      <w:r>
        <w:rPr>
          <w:sz w:val="20"/>
        </w:rPr>
        <w:t>Input to every scenario measure.</w:t>
      </w:r>
    </w:p>
    <w:p>
      <w:pPr>
        <w:spacing w:after="60"/>
        <w:ind w:left="230"/>
      </w:pPr>
      <w:r>
        <w:rPr>
          <w:b/>
          <w:color w:val="006B33"/>
          <w:sz w:val="20"/>
        </w:rPr>
        <w:t xml:space="preserve">Format string:  </w:t>
      </w:r>
      <w:r>
        <w:rPr>
          <w:sz w:val="20"/>
        </w:rPr>
        <w:t>0%</w:t>
      </w:r>
    </w:p>
    <w:p>
      <w:pPr>
        <w:spacing w:after="40"/>
      </w:pPr>
    </w:p>
    <w:p>
      <w:pPr>
        <w:pStyle w:val="Heading3"/>
      </w:pPr>
      <w:r>
        <w:t>Simulated Leavers</w:t>
      </w:r>
    </w:p>
    <w:p>
      <w:pPr>
        <w:spacing w:before="60" w:after="120"/>
        <w:ind w:left="230"/>
        <w:shd w:val="clear" w:fill="F2F5F9"/>
      </w:pPr>
      <w:r>
        <w:rPr>
          <w:rFonts w:ascii="Consolas" w:hAnsi="Consolas"/>
          <w:color w:val="1A3046"/>
          <w:sz w:val="17"/>
        </w:rPr>
        <w:t>VAR _red = [OT Reduction Selected]</w:t>
        <w:br/>
        <w:t>VAR _otHead = CALCULATE ( [Total Employees], FactEmployee[OverTime] = "Yes" )</w:t>
        <w:br/>
        <w:t>VAR _otRate = [Attrition Rate OT %]</w:t>
        <w:br/>
        <w:t>VAR _noOtRate = [Attrition Rate No-OT %]</w:t>
        <w:br/>
        <w:t>VAR _noOtLeavers = CALCULATE ( [Leavers], FactEmployee[OverTime] = "No" )</w:t>
        <w:br/>
        <w:t>VAR _simOt = _otHead * ( ( 1 - _red ) * _otRate + _red * _noOtRate )</w:t>
        <w:br/>
        <w:t>RETURN _noOtLeavers + _simOt</w:t>
      </w:r>
    </w:p>
    <w:p>
      <w:pPr>
        <w:spacing w:after="60"/>
        <w:ind w:left="230"/>
      </w:pPr>
      <w:r>
        <w:rPr>
          <w:b/>
          <w:color w:val="006B33"/>
          <w:sz w:val="20"/>
        </w:rPr>
        <w:t xml:space="preserve">What it is:  </w:t>
      </w:r>
      <w:r>
        <w:rPr>
          <w:sz w:val="20"/>
        </w:rPr>
        <w:t>Modelled leaver count at the selected overtime reduction.</w:t>
      </w:r>
    </w:p>
    <w:p>
      <w:pPr>
        <w:spacing w:after="60"/>
        <w:ind w:left="230"/>
      </w:pPr>
      <w:r>
        <w:rPr>
          <w:b/>
          <w:color w:val="006B33"/>
          <w:sz w:val="20"/>
        </w:rPr>
        <w:t xml:space="preserve">How it works:  </w:t>
      </w:r>
      <w:r>
        <w:rPr>
          <w:sz w:val="20"/>
        </w:rPr>
        <w:t>The overtime population is moved proportionally from its own rate towards the no-overtime rate: reduction × no-OT rate + (1 − reduction) × OT rate. The non-overtime population is held constant. Every input is a measure, so the simulation follows the slicers on the page.</w:t>
      </w:r>
    </w:p>
    <w:p>
      <w:pPr>
        <w:spacing w:after="60"/>
        <w:ind w:left="230"/>
      </w:pPr>
      <w:r>
        <w:rPr>
          <w:b/>
          <w:color w:val="006B33"/>
          <w:sz w:val="20"/>
        </w:rPr>
        <w:t xml:space="preserve">Used by:  </w:t>
      </w:r>
      <w:r>
        <w:rPr>
          <w:sz w:val="20"/>
        </w:rPr>
        <w:t>Scenario cards on page 3.</w:t>
      </w:r>
    </w:p>
    <w:p>
      <w:pPr>
        <w:spacing w:after="60"/>
        <w:ind w:left="230"/>
      </w:pPr>
      <w:r>
        <w:rPr>
          <w:b/>
          <w:color w:val="006B33"/>
          <w:sz w:val="20"/>
        </w:rPr>
        <w:t xml:space="preserve">Format string:  </w:t>
      </w:r>
      <w:r>
        <w:rPr>
          <w:sz w:val="20"/>
        </w:rPr>
        <w:t>#,0</w:t>
      </w:r>
    </w:p>
    <w:p>
      <w:pPr>
        <w:spacing w:after="40"/>
      </w:pPr>
    </w:p>
    <w:p>
      <w:pPr>
        <w:pStyle w:val="Heading3"/>
      </w:pPr>
      <w:r>
        <w:t>Simulated Attrition Rate %</w:t>
      </w:r>
    </w:p>
    <w:p>
      <w:pPr>
        <w:spacing w:before="60" w:after="120"/>
        <w:ind w:left="230"/>
        <w:shd w:val="clear" w:fill="F2F5F9"/>
      </w:pPr>
      <w:r>
        <w:rPr>
          <w:rFonts w:ascii="Consolas" w:hAnsi="Consolas"/>
          <w:color w:val="1A3046"/>
          <w:sz w:val="17"/>
        </w:rPr>
        <w:t>VAR _sim = [Simulated Leavers]</w:t>
        <w:br/>
        <w:t>VAR _t = [Total Employees]</w:t>
        <w:br/>
        <w:t>RETURN DIVIDE ( _sim, _t )</w:t>
      </w:r>
    </w:p>
    <w:p>
      <w:pPr>
        <w:spacing w:after="60"/>
        <w:ind w:left="230"/>
      </w:pPr>
      <w:r>
        <w:rPr>
          <w:b/>
          <w:color w:val="006B33"/>
          <w:sz w:val="20"/>
        </w:rPr>
        <w:t xml:space="preserve">What it is:  </w:t>
      </w:r>
      <w:r>
        <w:rPr>
          <w:sz w:val="20"/>
        </w:rPr>
        <w:t>Company rate implied by the simulated leaver count.</w:t>
      </w:r>
    </w:p>
    <w:p>
      <w:pPr>
        <w:spacing w:after="60"/>
        <w:ind w:left="230"/>
      </w:pPr>
      <w:r>
        <w:rPr>
          <w:b/>
          <w:color w:val="006B33"/>
          <w:sz w:val="20"/>
        </w:rPr>
        <w:t xml:space="preserve">How it works:  </w:t>
      </w:r>
      <w:r>
        <w:rPr>
          <w:sz w:val="20"/>
        </w:rPr>
        <w:t>Simulated leavers over total headcount.</w:t>
      </w:r>
    </w:p>
    <w:p>
      <w:pPr>
        <w:spacing w:after="60"/>
        <w:ind w:left="230"/>
      </w:pPr>
      <w:r>
        <w:rPr>
          <w:b/>
          <w:color w:val="006B33"/>
          <w:sz w:val="20"/>
        </w:rPr>
        <w:t xml:space="preserve">Used by:  </w:t>
      </w:r>
      <w:r>
        <w:rPr>
          <w:sz w:val="20"/>
        </w:rPr>
        <w:t>Scenario card.</w:t>
      </w:r>
    </w:p>
    <w:p>
      <w:pPr>
        <w:spacing w:after="60"/>
        <w:ind w:left="230"/>
      </w:pPr>
      <w:r>
        <w:rPr>
          <w:b/>
          <w:color w:val="006B33"/>
          <w:sz w:val="20"/>
        </w:rPr>
        <w:t xml:space="preserve">Format string:  </w:t>
      </w:r>
      <w:r>
        <w:rPr>
          <w:sz w:val="20"/>
        </w:rPr>
        <w:t>0.0%;-0.0%;0.0%</w:t>
      </w:r>
    </w:p>
    <w:p>
      <w:pPr>
        <w:spacing w:after="40"/>
      </w:pPr>
    </w:p>
    <w:p>
      <w:pPr>
        <w:pStyle w:val="Heading3"/>
      </w:pPr>
      <w:r>
        <w:t>Exits Prevented (Scenario)</w:t>
      </w:r>
    </w:p>
    <w:p>
      <w:pPr>
        <w:spacing w:before="60" w:after="120"/>
        <w:ind w:left="230"/>
        <w:shd w:val="clear" w:fill="F2F5F9"/>
      </w:pPr>
      <w:r>
        <w:rPr>
          <w:rFonts w:ascii="Consolas" w:hAnsi="Consolas"/>
          <w:color w:val="1A3046"/>
          <w:sz w:val="17"/>
        </w:rPr>
        <w:t>VAR _base = [Leavers]</w:t>
        <w:br/>
        <w:t>VAR _sim = [Simulated Leavers]</w:t>
        <w:br/>
        <w:t>RETURN _base - _sim</w:t>
      </w:r>
    </w:p>
    <w:p>
      <w:pPr>
        <w:spacing w:after="60"/>
        <w:ind w:left="230"/>
      </w:pPr>
      <w:r>
        <w:rPr>
          <w:b/>
          <w:color w:val="006B33"/>
          <w:sz w:val="20"/>
        </w:rPr>
        <w:t xml:space="preserve">What it is:  </w:t>
      </w:r>
      <w:r>
        <w:rPr>
          <w:sz w:val="20"/>
        </w:rPr>
        <w:t>People kept, versus today.</w:t>
      </w:r>
    </w:p>
    <w:p>
      <w:pPr>
        <w:spacing w:after="60"/>
        <w:ind w:left="230"/>
      </w:pPr>
      <w:r>
        <w:rPr>
          <w:b/>
          <w:color w:val="006B33"/>
          <w:sz w:val="20"/>
        </w:rPr>
        <w:t xml:space="preserve">How it works:  </w:t>
      </w:r>
      <w:r>
        <w:rPr>
          <w:sz w:val="20"/>
        </w:rPr>
        <w:t>Today's leavers minus the simulated count.</w:t>
      </w:r>
    </w:p>
    <w:p>
      <w:pPr>
        <w:spacing w:after="60"/>
        <w:ind w:left="230"/>
      </w:pPr>
      <w:r>
        <w:rPr>
          <w:b/>
          <w:color w:val="006B33"/>
          <w:sz w:val="20"/>
        </w:rPr>
        <w:t xml:space="preserve">Used by:  </w:t>
      </w:r>
      <w:r>
        <w:rPr>
          <w:sz w:val="20"/>
        </w:rPr>
        <w:t>Scenario card.</w:t>
      </w:r>
    </w:p>
    <w:p>
      <w:pPr>
        <w:spacing w:after="60"/>
        <w:ind w:left="230"/>
      </w:pPr>
      <w:r>
        <w:rPr>
          <w:b/>
          <w:color w:val="006B33"/>
          <w:sz w:val="20"/>
        </w:rPr>
        <w:t xml:space="preserve">Format string:  </w:t>
      </w:r>
      <w:r>
        <w:rPr>
          <w:sz w:val="20"/>
        </w:rPr>
        <w:t>#,0</w:t>
      </w:r>
    </w:p>
    <w:p>
      <w:pPr>
        <w:spacing w:after="40"/>
      </w:pPr>
    </w:p>
    <w:p>
      <w:pPr>
        <w:pStyle w:val="Heading3"/>
      </w:pPr>
      <w:r>
        <w:t>Cost Saved (Scenario)</w:t>
      </w:r>
    </w:p>
    <w:p>
      <w:pPr>
        <w:spacing w:before="60" w:after="120"/>
        <w:ind w:left="230"/>
        <w:shd w:val="clear" w:fill="F2F5F9"/>
      </w:pPr>
      <w:r>
        <w:rPr>
          <w:rFonts w:ascii="Consolas" w:hAnsi="Consolas"/>
          <w:color w:val="1A3046"/>
          <w:sz w:val="17"/>
        </w:rPr>
        <w:t>VAR _n = [Exits Prevented (Scenario)]</w:t>
        <w:br/>
        <w:t>VAR _c = [Avg Income Leavers] * 6</w:t>
        <w:br/>
        <w:t>RETURN _n * _c</w:t>
      </w:r>
    </w:p>
    <w:p>
      <w:pPr>
        <w:spacing w:after="60"/>
        <w:ind w:left="230"/>
      </w:pPr>
      <w:r>
        <w:rPr>
          <w:b/>
          <w:color w:val="006B33"/>
          <w:sz w:val="20"/>
        </w:rPr>
        <w:t xml:space="preserve">What it is:  </w:t>
      </w:r>
      <w:r>
        <w:rPr>
          <w:sz w:val="20"/>
        </w:rPr>
        <w:t>Money saved by those prevented exits.</w:t>
      </w:r>
    </w:p>
    <w:p>
      <w:pPr>
        <w:spacing w:after="60"/>
        <w:ind w:left="230"/>
      </w:pPr>
      <w:r>
        <w:rPr>
          <w:b/>
          <w:color w:val="006B33"/>
          <w:sz w:val="20"/>
        </w:rPr>
        <w:t xml:space="preserve">How it works:  </w:t>
      </w:r>
      <w:r>
        <w:rPr>
          <w:sz w:val="20"/>
        </w:rPr>
        <w:t>Exits prevented × six months of the leavers' average salary — the same assumption as the replacement-cost measure, kept consistent on purpose.</w:t>
      </w:r>
    </w:p>
    <w:p>
      <w:pPr>
        <w:spacing w:after="60"/>
        <w:ind w:left="230"/>
      </w:pPr>
      <w:r>
        <w:rPr>
          <w:b/>
          <w:color w:val="006B33"/>
          <w:sz w:val="20"/>
        </w:rPr>
        <w:t xml:space="preserve">Used by:  </w:t>
      </w:r>
      <w:r>
        <w:rPr>
          <w:sz w:val="20"/>
        </w:rPr>
        <w:t>Scenario card.</w:t>
      </w:r>
    </w:p>
    <w:p>
      <w:pPr>
        <w:spacing w:after="60"/>
        <w:ind w:left="230"/>
      </w:pPr>
      <w:r>
        <w:rPr>
          <w:b/>
          <w:color w:val="006B33"/>
          <w:sz w:val="20"/>
        </w:rPr>
        <w:t xml:space="preserve">Format string:  </w:t>
      </w:r>
      <w:r>
        <w:rPr>
          <w:sz w:val="20"/>
        </w:rPr>
        <w:t>"$"#,0</w:t>
      </w:r>
    </w:p>
    <w:p>
      <w:pPr>
        <w:spacing w:after="40"/>
      </w:pPr>
    </w:p>
    <w:p>
      <w:pPr>
        <w:pStyle w:val="Heading3"/>
      </w:pPr>
      <w:r>
        <w:t>Scenario Narrative</w:t>
      </w:r>
    </w:p>
    <w:p>
      <w:pPr>
        <w:spacing w:before="60" w:after="120"/>
        <w:ind w:left="230"/>
        <w:shd w:val="clear" w:fill="F2F5F9"/>
      </w:pPr>
      <w:r>
        <w:rPr>
          <w:rFonts w:ascii="Consolas" w:hAnsi="Consolas"/>
          <w:color w:val="1A3046"/>
          <w:sz w:val="17"/>
        </w:rPr>
        <w:t>VAR _r = [OT Reduction Selected]</w:t>
        <w:br/>
        <w:t>VAR _n = [Exits Prevented (Scenario)]</w:t>
        <w:br/>
        <w:t>VAR _c = [Cost Saved (Scenario)]</w:t>
        <w:br/>
        <w:t>RETURN "Cutting overtime exposure by " &amp; FORMAT ( _r, "0%" ) &amp; " prevents ~" &amp; FORMAT ( _n, "#,0" ) &amp; " exits and saves " &amp; FORMAT ( _c, "$#,0" )</w:t>
      </w:r>
    </w:p>
    <w:p>
      <w:pPr>
        <w:spacing w:after="60"/>
        <w:ind w:left="230"/>
      </w:pPr>
      <w:r>
        <w:rPr>
          <w:b/>
          <w:color w:val="006B33"/>
          <w:sz w:val="20"/>
        </w:rPr>
        <w:t xml:space="preserve">What it is:  </w:t>
      </w:r>
      <w:r>
        <w:rPr>
          <w:sz w:val="20"/>
        </w:rPr>
        <w:t>A sentence that states the scenario outcome in plain English.</w:t>
      </w:r>
    </w:p>
    <w:p>
      <w:pPr>
        <w:spacing w:after="60"/>
        <w:ind w:left="230"/>
      </w:pPr>
      <w:r>
        <w:rPr>
          <w:b/>
          <w:color w:val="006B33"/>
          <w:sz w:val="20"/>
        </w:rPr>
        <w:t xml:space="preserve">How it works:  </w:t>
      </w:r>
      <w:r>
        <w:rPr>
          <w:sz w:val="20"/>
        </w:rPr>
        <w:t>String concatenation with FORMAT so the numbers appear formatted inside the text. It means the page needs no verbal interpretation — a screenshot of it is self-explanatory.</w:t>
      </w:r>
    </w:p>
    <w:p>
      <w:pPr>
        <w:spacing w:after="60"/>
        <w:ind w:left="230"/>
      </w:pPr>
      <w:r>
        <w:rPr>
          <w:b/>
          <w:color w:val="006B33"/>
          <w:sz w:val="20"/>
        </w:rPr>
        <w:t xml:space="preserve">Used by:  </w:t>
      </w:r>
      <w:r>
        <w:rPr>
          <w:sz w:val="20"/>
        </w:rPr>
        <w:t>Wide card under the scenario controls on page 3.</w:t>
      </w:r>
    </w:p>
    <w:p>
      <w:pPr>
        <w:spacing w:after="40"/>
      </w:pPr>
    </w:p>
    <w:p>
      <w:pPr>
        <w:pStyle w:val="Heading3"/>
      </w:pPr>
      <w:r>
        <w:t>Role Rank by Attrition</w:t>
      </w:r>
    </w:p>
    <w:p>
      <w:pPr>
        <w:spacing w:before="60" w:after="120"/>
        <w:ind w:left="230"/>
        <w:shd w:val="clear" w:fill="F2F5F9"/>
      </w:pPr>
      <w:r>
        <w:rPr>
          <w:rFonts w:ascii="Consolas" w:hAnsi="Consolas"/>
          <w:color w:val="1A3046"/>
          <w:sz w:val="17"/>
        </w:rPr>
        <w:t>RANKX ( ALL ( DimJobRole[JobRole] ), [Attrition Rate %],, DESC )</w:t>
      </w:r>
    </w:p>
    <w:p>
      <w:pPr>
        <w:spacing w:after="60"/>
        <w:ind w:left="230"/>
      </w:pPr>
      <w:r>
        <w:rPr>
          <w:b/>
          <w:color w:val="006B33"/>
          <w:sz w:val="20"/>
        </w:rPr>
        <w:t xml:space="preserve">What it is:  </w:t>
      </w:r>
      <w:r>
        <w:rPr>
          <w:sz w:val="20"/>
        </w:rPr>
        <w:t>Rank of each job role by attrition rate, 1 = worst.</w:t>
      </w:r>
    </w:p>
    <w:p>
      <w:pPr>
        <w:spacing w:after="60"/>
        <w:ind w:left="230"/>
      </w:pPr>
      <w:r>
        <w:rPr>
          <w:b/>
          <w:color w:val="006B33"/>
          <w:sz w:val="20"/>
        </w:rPr>
        <w:t xml:space="preserve">How it works:  </w:t>
      </w:r>
      <w:r>
        <w:rPr>
          <w:sz w:val="20"/>
        </w:rPr>
        <w:t>RANKX over ALL(DimJobRole[JobRole]) so the ranking is against the full list of roles and does not renumber when the visual is filtered.</w:t>
      </w:r>
    </w:p>
    <w:p>
      <w:pPr>
        <w:spacing w:after="60"/>
        <w:ind w:left="230"/>
      </w:pPr>
      <w:r>
        <w:rPr>
          <w:b/>
          <w:color w:val="006B33"/>
          <w:sz w:val="20"/>
        </w:rPr>
        <w:t xml:space="preserve">Used by:  </w:t>
      </w:r>
      <w:r>
        <w:rPr>
          <w:sz w:val="20"/>
        </w:rPr>
        <w:t>Ranking tables and tooltips.</w:t>
      </w:r>
    </w:p>
    <w:p>
      <w:pPr>
        <w:spacing w:after="60"/>
        <w:ind w:left="230"/>
      </w:pPr>
      <w:r>
        <w:rPr>
          <w:b/>
          <w:color w:val="006B33"/>
          <w:sz w:val="20"/>
        </w:rPr>
        <w:t xml:space="preserve">Format string:  </w:t>
      </w:r>
      <w:r>
        <w:rPr>
          <w:sz w:val="20"/>
        </w:rPr>
        <w:t>#,0</w:t>
      </w:r>
    </w:p>
    <w:p>
      <w:pPr>
        <w:spacing w:after="40"/>
      </w:pPr>
    </w:p>
    <w:p>
      <w:pPr>
        <w:pStyle w:val="Heading3"/>
      </w:pPr>
      <w:r>
        <w:t>Overview Title</w:t>
      </w:r>
    </w:p>
    <w:p>
      <w:pPr>
        <w:spacing w:before="60" w:after="120"/>
        <w:ind w:left="230"/>
        <w:shd w:val="clear" w:fill="F2F5F9"/>
      </w:pPr>
      <w:r>
        <w:rPr>
          <w:rFonts w:ascii="Consolas" w:hAnsi="Consolas"/>
          <w:color w:val="1A3046"/>
          <w:sz w:val="17"/>
        </w:rPr>
        <w:t>VAR _r = [Attrition Rate %]</w:t>
        <w:br/>
        <w:t>VAR _n = [Leavers]</w:t>
        <w:br/>
        <w:t>RETURN "Attrition Overview — " &amp; FORMAT ( _n, "#,0" ) &amp; " leavers (" &amp; FORMAT ( _r, "0.0%" ) &amp; ")"</w:t>
      </w:r>
    </w:p>
    <w:p>
      <w:pPr>
        <w:spacing w:after="60"/>
        <w:ind w:left="230"/>
      </w:pPr>
      <w:r>
        <w:rPr>
          <w:b/>
          <w:color w:val="006B33"/>
          <w:sz w:val="20"/>
        </w:rPr>
        <w:t xml:space="preserve">What it is:  </w:t>
      </w:r>
      <w:r>
        <w:rPr>
          <w:sz w:val="20"/>
        </w:rPr>
        <w:t>A dynamic title that always states the current leaver count and rate.</w:t>
      </w:r>
    </w:p>
    <w:p>
      <w:pPr>
        <w:spacing w:after="60"/>
        <w:ind w:left="230"/>
      </w:pPr>
      <w:r>
        <w:rPr>
          <w:b/>
          <w:color w:val="006B33"/>
          <w:sz w:val="20"/>
        </w:rPr>
        <w:t xml:space="preserve">How it works:  </w:t>
      </w:r>
      <w:r>
        <w:rPr>
          <w:sz w:val="20"/>
        </w:rPr>
        <w:t>Concatenation with FORMAT. Used where a title should reflect the filters rather than stay fixed.</w:t>
      </w:r>
    </w:p>
    <w:p>
      <w:pPr>
        <w:spacing w:after="60"/>
        <w:ind w:left="230"/>
      </w:pPr>
      <w:r>
        <w:rPr>
          <w:b/>
          <w:color w:val="006B33"/>
          <w:sz w:val="20"/>
        </w:rPr>
        <w:t xml:space="preserve">Used by:  </w:t>
      </w:r>
      <w:r>
        <w:rPr>
          <w:sz w:val="20"/>
        </w:rPr>
        <w:t>Available for a dynamic page title.</w:t>
      </w:r>
    </w:p>
    <w:p>
      <w:pPr>
        <w:spacing w:after="40"/>
      </w:pPr>
    </w:p>
    <w:p>
      <w:pPr>
        <w:pStyle w:val="Heading3"/>
      </w:pPr>
      <w:r>
        <w:t>Bar Colour</w:t>
      </w:r>
    </w:p>
    <w:p>
      <w:pPr>
        <w:spacing w:before="60" w:after="120"/>
        <w:ind w:left="230"/>
        <w:shd w:val="clear" w:fill="F2F5F9"/>
      </w:pPr>
      <w:r>
        <w:rPr>
          <w:rFonts w:ascii="Consolas" w:hAnsi="Consolas"/>
          <w:color w:val="1A3046"/>
          <w:sz w:val="17"/>
        </w:rPr>
        <w:t>VAR _seg = [Attrition Rate %]</w:t>
        <w:br/>
        <w:t>VAR _company = [Attrition Rate (Company) %]</w:t>
        <w:br/>
        <w:t>RETURN IF ( _seg &gt; _company, "#D03B3B", "#003D77" )</w:t>
      </w:r>
    </w:p>
    <w:p>
      <w:pPr>
        <w:spacing w:after="60"/>
        <w:ind w:left="230"/>
      </w:pPr>
      <w:r>
        <w:rPr>
          <w:b/>
          <w:color w:val="006B33"/>
          <w:sz w:val="20"/>
        </w:rPr>
        <w:t xml:space="preserve">What it is:  </w:t>
      </w:r>
      <w:r>
        <w:rPr>
          <w:sz w:val="20"/>
        </w:rPr>
        <w:t>Returns a hex colour: red above the benchmark, TP blue below.</w:t>
      </w:r>
    </w:p>
    <w:p>
      <w:pPr>
        <w:spacing w:after="60"/>
        <w:ind w:left="230"/>
      </w:pPr>
      <w:r>
        <w:rPr>
          <w:b/>
          <w:color w:val="006B33"/>
          <w:sz w:val="20"/>
        </w:rPr>
        <w:t xml:space="preserve">How it works:  </w:t>
      </w:r>
      <w:r>
        <w:rPr>
          <w:sz w:val="20"/>
        </w:rPr>
        <w:t>The segment rate is compared with the company benchmark and a colour string is returned. Because it is a measure, the colour is recalculated per data point and under every filter — there is no colour hard-coded anywhere in the report.</w:t>
      </w:r>
    </w:p>
    <w:p>
      <w:pPr>
        <w:spacing w:after="60"/>
        <w:ind w:left="230"/>
      </w:pPr>
      <w:r>
        <w:rPr>
          <w:b/>
          <w:color w:val="006B33"/>
          <w:sz w:val="20"/>
        </w:rPr>
        <w:t xml:space="preserve">Used by:  </w:t>
      </w:r>
      <w:r>
        <w:rPr>
          <w:sz w:val="20"/>
        </w:rPr>
        <w:t>Bound to the bar/column colour of every rate chart through Format ▸ fx ▸ Field value.</w:t>
      </w:r>
    </w:p>
    <w:p>
      <w:pPr>
        <w:spacing w:after="40"/>
      </w:pPr>
    </w:p>
    <w:p>
      <w:pPr>
        <w:pStyle w:val="Heading3"/>
      </w:pPr>
      <w:r>
        <w:t>Risk Colour Bold</w:t>
      </w:r>
    </w:p>
    <w:p>
      <w:pPr>
        <w:spacing w:before="60" w:after="120"/>
        <w:ind w:left="230"/>
        <w:shd w:val="clear" w:fill="F2F5F9"/>
      </w:pPr>
      <w:r>
        <w:rPr>
          <w:rFonts w:ascii="Consolas" w:hAnsi="Consolas"/>
          <w:color w:val="1A3046"/>
          <w:sz w:val="17"/>
        </w:rPr>
        <w:t>VAR _seg = [Attrition Rate %]</w:t>
        <w:br/>
        <w:t>VAR _company = [Attrition Rate (Company) %]</w:t>
        <w:br/>
        <w:t>RETURN SWITCH ( TRUE (),</w:t>
        <w:br/>
        <w:t xml:space="preserve">    _seg &gt;= _company * 2, "#B02525", _seg &gt; _company, "#D03B3B", _seg &lt;= _company * 0.6, "#00AC4F", "#003D77" )</w:t>
      </w:r>
    </w:p>
    <w:p>
      <w:pPr>
        <w:spacing w:after="60"/>
        <w:ind w:left="230"/>
      </w:pPr>
      <w:r>
        <w:rPr>
          <w:b/>
          <w:color w:val="006B33"/>
          <w:sz w:val="20"/>
        </w:rPr>
        <w:t xml:space="preserve">What it is:  </w:t>
      </w:r>
      <w:r>
        <w:rPr>
          <w:sz w:val="20"/>
        </w:rPr>
        <w:t>A four-step version of the same idea.</w:t>
      </w:r>
    </w:p>
    <w:p>
      <w:pPr>
        <w:spacing w:after="60"/>
        <w:ind w:left="230"/>
      </w:pPr>
      <w:r>
        <w:rPr>
          <w:b/>
          <w:color w:val="006B33"/>
          <w:sz w:val="20"/>
        </w:rPr>
        <w:t xml:space="preserve">How it works:  </w:t>
      </w:r>
      <w:r>
        <w:rPr>
          <w:sz w:val="20"/>
        </w:rPr>
        <w:t>SWITCH(TRUE(), …): deep red at twice the benchmark, red above it, green well below, blue otherwise. Swapping this in for Bar Colour changes the whole report's colour rule in one edit.</w:t>
      </w:r>
    </w:p>
    <w:p>
      <w:pPr>
        <w:spacing w:after="60"/>
        <w:ind w:left="230"/>
      </w:pPr>
      <w:r>
        <w:rPr>
          <w:b/>
          <w:color w:val="006B33"/>
          <w:sz w:val="20"/>
        </w:rPr>
        <w:t xml:space="preserve">Used by:  </w:t>
      </w:r>
      <w:r>
        <w:rPr>
          <w:sz w:val="20"/>
        </w:rPr>
        <w:t>Alternative colour rule, ready to bind.</w:t>
      </w:r>
    </w:p>
    <w:p>
      <w:pPr>
        <w:spacing w:after="40"/>
      </w:pPr>
    </w:p>
    <w:p>
      <w:r>
        <w:br w:type="page"/>
      </w:r>
    </w:p>
    <w:p>
      <w:pPr>
        <w:pStyle w:val="Heading1"/>
      </w:pPr>
      <w:r>
        <w:t>4. Report — page by page</w:t>
      </w:r>
    </w:p>
    <w:p>
      <w:pPr>
        <w:spacing w:after="160"/>
      </w:pPr>
      <w:r>
        <w:rPr>
          <w:b w:val="0"/>
          <w:i w:val="0"/>
          <w:sz w:val="21"/>
        </w:rPr>
        <w:t>Layout convention used on every page: the navigation rail and the card frames are a background image, so the chrome costs no visuals and every visual sits on it with a transparent background. Filters sit in one strip directly under the page title, so a reader always knows what is filtering what before looking at a number.</w:t>
      </w:r>
    </w:p>
    <w:p>
      <w:pPr>
        <w:pStyle w:val="Heading2"/>
      </w:pPr>
      <w:r>
        <w:t>4.1 Executive Overview</w:t>
      </w:r>
    </w:p>
    <w:p>
      <w:pPr>
        <w:spacing w:after="160"/>
      </w:pPr>
      <w:r>
        <w:rPr>
          <w:b w:val="0"/>
          <w:i w:val="0"/>
          <w:sz w:val="21"/>
        </w:rPr>
        <w:t>Answers 'where does attrition concentrate, and what does it cost'. Read left to right: the scale of the problem, then the worst roles, then the departments, then the workforce split.</w:t>
      </w:r>
    </w:p>
    <w:p>
      <w:pPr>
        <w:spacing w:after="80"/>
      </w:pPr>
      <w:r>
        <w:rPr>
          <w:b/>
          <w:i w:val="0"/>
          <w:sz w:val="21"/>
        </w:rPr>
        <w:t>Cards</w:t>
      </w:r>
    </w:p>
    <w:tbl>
      <w:tblPr>
        <w:tblStyle w:val="LightGrid-Accent1"/>
        <w:tblW w:type="auto" w:w="0"/>
        <w:jc w:val="center"/>
        <w:tblLook w:firstColumn="1" w:firstRow="1" w:lastColumn="0" w:lastRow="0" w:noHBand="0" w:noVBand="1" w:val="04A0"/>
      </w:tblPr>
      <w:tblGrid>
        <w:gridCol w:w="4896"/>
        <w:gridCol w:w="4896"/>
      </w:tblGrid>
      <w:tr>
        <w:tc>
          <w:tcPr>
            <w:tcW w:type="dxa" w:w="2736"/>
          </w:tcPr>
          <w:p>
            <w:r/>
            <w:r>
              <w:rPr>
                <w:b/>
                <w:sz w:val="19"/>
              </w:rPr>
              <w:t>Measure shown</w:t>
            </w:r>
          </w:p>
        </w:tc>
        <w:tc>
          <w:tcPr>
            <w:tcW w:type="dxa" w:w="7056"/>
          </w:tcPr>
          <w:p>
            <w:r/>
            <w:r>
              <w:rPr>
                <w:b/>
                <w:sz w:val="19"/>
              </w:rPr>
              <w:t>What it tells the reader</w:t>
            </w:r>
          </w:p>
        </w:tc>
      </w:tr>
      <w:tr>
        <w:tc>
          <w:tcPr>
            <w:tcW w:type="dxa" w:w="2736"/>
          </w:tcPr>
          <w:p>
            <w:r/>
            <w:r>
              <w:rPr>
                <w:sz w:val="18"/>
              </w:rPr>
              <w:t>Total Employees</w:t>
            </w:r>
          </w:p>
        </w:tc>
        <w:tc>
          <w:tcPr>
            <w:tcW w:type="dxa" w:w="7056"/>
          </w:tcPr>
          <w:p>
            <w:r/>
            <w:r>
              <w:rPr>
                <w:sz w:val="18"/>
              </w:rPr>
              <w:t>Headcount in scope. Establishes the base size before any percentage is read.</w:t>
            </w:r>
          </w:p>
        </w:tc>
      </w:tr>
      <w:tr>
        <w:tc>
          <w:tcPr>
            <w:tcW w:type="dxa" w:w="2736"/>
          </w:tcPr>
          <w:p>
            <w:r/>
            <w:r>
              <w:rPr>
                <w:sz w:val="18"/>
              </w:rPr>
              <w:t>Leavers</w:t>
            </w:r>
          </w:p>
        </w:tc>
        <w:tc>
          <w:tcPr>
            <w:tcW w:type="dxa" w:w="7056"/>
          </w:tcPr>
          <w:p>
            <w:r/>
            <w:r>
              <w:rPr>
                <w:sz w:val="18"/>
              </w:rPr>
              <w:t>The absolute loss. Shown next to the rate because a rate alone hides the size of the problem.</w:t>
            </w:r>
          </w:p>
        </w:tc>
      </w:tr>
      <w:tr>
        <w:tc>
          <w:tcPr>
            <w:tcW w:type="dxa" w:w="2736"/>
          </w:tcPr>
          <w:p>
            <w:r/>
            <w:r>
              <w:rPr>
                <w:sz w:val="18"/>
              </w:rPr>
              <w:t>Attrition Rate %</w:t>
            </w:r>
          </w:p>
        </w:tc>
        <w:tc>
          <w:tcPr>
            <w:tcW w:type="dxa" w:w="7056"/>
          </w:tcPr>
          <w:p>
            <w:r/>
            <w:r>
              <w:rPr>
                <w:sz w:val="18"/>
              </w:rPr>
              <w:t>The headline figure the whole report exists to explain.</w:t>
            </w:r>
          </w:p>
        </w:tc>
      </w:tr>
      <w:tr>
        <w:tc>
          <w:tcPr>
            <w:tcW w:type="dxa" w:w="2736"/>
          </w:tcPr>
          <w:p>
            <w:r/>
            <w:r>
              <w:rPr>
                <w:sz w:val="18"/>
              </w:rPr>
              <w:t>Total Employees</w:t>
            </w:r>
          </w:p>
        </w:tc>
        <w:tc>
          <w:tcPr>
            <w:tcW w:type="dxa" w:w="7056"/>
          </w:tcPr>
          <w:p>
            <w:r/>
            <w:r>
              <w:rPr>
                <w:sz w:val="18"/>
              </w:rPr>
              <w:t>Headcount in scope. Establishes the base size before any percentage is read.</w:t>
            </w:r>
          </w:p>
        </w:tc>
      </w:tr>
      <w:tr>
        <w:tc>
          <w:tcPr>
            <w:tcW w:type="dxa" w:w="2736"/>
          </w:tcPr>
          <w:p>
            <w:r/>
            <w:r>
              <w:rPr>
                <w:sz w:val="18"/>
              </w:rPr>
              <w:t>Leavers</w:t>
            </w:r>
          </w:p>
        </w:tc>
        <w:tc>
          <w:tcPr>
            <w:tcW w:type="dxa" w:w="7056"/>
          </w:tcPr>
          <w:p>
            <w:r/>
            <w:r>
              <w:rPr>
                <w:sz w:val="18"/>
              </w:rPr>
              <w:t>The absolute loss. Shown next to the rate because a rate alone hides the size of the problem.</w:t>
            </w:r>
          </w:p>
        </w:tc>
      </w:tr>
      <w:tr>
        <w:tc>
          <w:tcPr>
            <w:tcW w:type="dxa" w:w="2736"/>
          </w:tcPr>
          <w:p>
            <w:r/>
            <w:r>
              <w:rPr>
                <w:sz w:val="18"/>
              </w:rPr>
              <w:t>Attrition Rate %</w:t>
            </w:r>
          </w:p>
        </w:tc>
        <w:tc>
          <w:tcPr>
            <w:tcW w:type="dxa" w:w="7056"/>
          </w:tcPr>
          <w:p>
            <w:r/>
            <w:r>
              <w:rPr>
                <w:sz w:val="18"/>
              </w:rPr>
              <w:t>The headline figure the whole report exists to explain.</w:t>
            </w:r>
          </w:p>
        </w:tc>
      </w:tr>
      <w:tr>
        <w:tc>
          <w:tcPr>
            <w:tcW w:type="dxa" w:w="2736"/>
          </w:tcPr>
          <w:p>
            <w:r/>
            <w:r>
              <w:rPr>
                <w:sz w:val="18"/>
              </w:rPr>
              <w:t>Avg Income Leavers</w:t>
            </w:r>
          </w:p>
        </w:tc>
        <w:tc>
          <w:tcPr>
            <w:tcW w:type="dxa" w:w="7056"/>
          </w:tcPr>
          <w:p>
            <w:r/>
            <w:r>
              <w:rPr>
                <w:sz w:val="18"/>
              </w:rPr>
              <w:t>The absolute loss. Shown next to the rate because a rate alone hides the size of the problem.</w:t>
            </w:r>
          </w:p>
        </w:tc>
      </w:tr>
      <w:tr>
        <w:tc>
          <w:tcPr>
            <w:tcW w:type="dxa" w:w="2736"/>
          </w:tcPr>
          <w:p>
            <w:r/>
            <w:r>
              <w:rPr>
                <w:sz w:val="18"/>
              </w:rPr>
              <w:t>Estimated Replacement Cost</w:t>
            </w:r>
          </w:p>
        </w:tc>
        <w:tc>
          <w:tcPr>
            <w:tcW w:type="dxa" w:w="7056"/>
          </w:tcPr>
          <w:p>
            <w:r/>
            <w:r>
              <w:rPr>
                <w:sz w:val="18"/>
              </w:rPr>
              <w:t>The rate translated into money. This is the number that gets a retention programme funded.</w:t>
            </w:r>
          </w:p>
        </w:tc>
      </w:tr>
    </w:tbl>
    <w:p>
      <w:pPr>
        <w:spacing w:after="80"/>
      </w:pPr>
    </w:p>
    <w:p>
      <w:pPr>
        <w:spacing w:after="80"/>
      </w:pPr>
      <w:r>
        <w:rPr>
          <w:b/>
          <w:i w:val="0"/>
          <w:sz w:val="21"/>
        </w:rPr>
        <w:t>Charts</w:t>
      </w:r>
    </w:p>
    <w:tbl>
      <w:tblPr>
        <w:tblStyle w:val="LightGrid-Accent1"/>
        <w:tblW w:type="auto" w:w="0"/>
        <w:jc w:val="center"/>
        <w:tblLook w:firstColumn="1" w:firstRow="1" w:lastColumn="0" w:lastRow="0" w:noHBand="0" w:noVBand="1" w:val="04A0"/>
      </w:tblPr>
      <w:tblGrid>
        <w:gridCol w:w="3264"/>
        <w:gridCol w:w="3264"/>
        <w:gridCol w:w="3264"/>
      </w:tblGrid>
      <w:tr>
        <w:tc>
          <w:tcPr>
            <w:tcW w:type="dxa" w:w="2736"/>
          </w:tcPr>
          <w:p>
            <w:r/>
            <w:r>
              <w:rPr>
                <w:b/>
                <w:sz w:val="19"/>
              </w:rPr>
              <w:t>Visual</w:t>
            </w:r>
          </w:p>
        </w:tc>
        <w:tc>
          <w:tcPr>
            <w:tcW w:type="dxa" w:w="2160"/>
          </w:tcPr>
          <w:p>
            <w:r/>
            <w:r>
              <w:rPr>
                <w:b/>
                <w:sz w:val="19"/>
              </w:rPr>
              <w:t>Axis × value</w:t>
            </w:r>
          </w:p>
        </w:tc>
        <w:tc>
          <w:tcPr>
            <w:tcW w:type="dxa" w:w="4896"/>
          </w:tcPr>
          <w:p>
            <w:r/>
            <w:r>
              <w:rPr>
                <w:b/>
                <w:sz w:val="19"/>
              </w:rPr>
              <w:t>What it shows</w:t>
            </w:r>
          </w:p>
        </w:tc>
      </w:tr>
      <w:tr>
        <w:tc>
          <w:tcPr>
            <w:tcW w:type="dxa" w:w="2736"/>
          </w:tcPr>
          <w:p>
            <w:r/>
            <w:r>
              <w:rPr>
                <w:sz w:val="18"/>
              </w:rPr>
              <w:t xml:space="preserve">Attrition rate by job role </w:t>
            </w:r>
          </w:p>
        </w:tc>
        <w:tc>
          <w:tcPr>
            <w:tcW w:type="dxa" w:w="2160"/>
          </w:tcPr>
          <w:p>
            <w:r/>
            <w:r>
              <w:rPr>
                <w:sz w:val="18"/>
              </w:rPr>
              <w:t>JobRole × Attrition Rate %</w:t>
            </w:r>
          </w:p>
        </w:tc>
        <w:tc>
          <w:tcPr>
            <w:tcW w:type="dxa" w:w="4896"/>
          </w:tcPr>
          <w:p>
            <w:r/>
            <w:r>
              <w:rPr>
                <w:sz w:val="18"/>
              </w:rPr>
              <w:t>Ranks every role against the company benchmark. Red bars are above it. This is the page's main finding: the loss is concentrated in a few roles, not spread evenly.</w:t>
            </w:r>
          </w:p>
        </w:tc>
      </w:tr>
      <w:tr>
        <w:tc>
          <w:tcPr>
            <w:tcW w:type="dxa" w:w="2736"/>
          </w:tcPr>
          <w:p>
            <w:r/>
            <w:r>
              <w:rPr>
                <w:sz w:val="18"/>
              </w:rPr>
              <w:t>Attrition Rate % by department</w:t>
            </w:r>
          </w:p>
        </w:tc>
        <w:tc>
          <w:tcPr>
            <w:tcW w:type="dxa" w:w="2160"/>
          </w:tcPr>
          <w:p>
            <w:r/>
            <w:r>
              <w:rPr>
                <w:sz w:val="18"/>
              </w:rPr>
              <w:t>Department × Attrition Rate %</w:t>
            </w:r>
          </w:p>
        </w:tc>
        <w:tc>
          <w:tcPr>
            <w:tcW w:type="dxa" w:w="4896"/>
          </w:tcPr>
          <w:p>
            <w:r/>
            <w:r>
              <w:rPr>
                <w:sz w:val="18"/>
              </w:rPr>
              <w:t>The headline figure the whole report exists to explain.</w:t>
            </w:r>
          </w:p>
        </w:tc>
      </w:tr>
      <w:tr>
        <w:tc>
          <w:tcPr>
            <w:tcW w:type="dxa" w:w="2736"/>
          </w:tcPr>
          <w:p>
            <w:r/>
            <w:r>
              <w:rPr>
                <w:sz w:val="18"/>
              </w:rPr>
              <w:t>Leavers by Dept</w:t>
            </w:r>
          </w:p>
        </w:tc>
        <w:tc>
          <w:tcPr>
            <w:tcW w:type="dxa" w:w="2160"/>
          </w:tcPr>
          <w:p>
            <w:r/>
            <w:r>
              <w:rPr>
                <w:sz w:val="18"/>
              </w:rPr>
              <w:t>Department × Leavers</w:t>
            </w:r>
          </w:p>
        </w:tc>
        <w:tc>
          <w:tcPr>
            <w:tcW w:type="dxa" w:w="4896"/>
          </w:tcPr>
          <w:p>
            <w:r/>
            <w:r>
              <w:rPr>
                <w:sz w:val="18"/>
              </w:rPr>
              <w:t>The absolute loss. Shown next to the rate because a rate alone hides the size of the problem.</w:t>
            </w:r>
          </w:p>
        </w:tc>
      </w:tr>
      <w:tr>
        <w:tc>
          <w:tcPr>
            <w:tcW w:type="dxa" w:w="2736"/>
          </w:tcPr>
          <w:p>
            <w:r/>
            <w:r>
              <w:rPr>
                <w:sz w:val="18"/>
              </w:rPr>
              <w:t>Junior  vs Senior</w:t>
            </w:r>
          </w:p>
        </w:tc>
        <w:tc>
          <w:tcPr>
            <w:tcW w:type="dxa" w:w="2160"/>
          </w:tcPr>
          <w:p>
            <w:r/>
            <w:r>
              <w:rPr>
                <w:sz w:val="18"/>
              </w:rPr>
              <w:t>ExperienceLevel × Attrition Rate %</w:t>
            </w:r>
          </w:p>
        </w:tc>
        <w:tc>
          <w:tcPr>
            <w:tcW w:type="dxa" w:w="4896"/>
          </w:tcPr>
          <w:p>
            <w:r/>
            <w:r>
              <w:rPr>
                <w:sz w:val="18"/>
              </w:rPr>
            </w:r>
          </w:p>
        </w:tc>
      </w:tr>
      <w:tr>
        <w:tc>
          <w:tcPr>
            <w:tcW w:type="dxa" w:w="2736"/>
          </w:tcPr>
          <w:p>
            <w:r/>
            <w:r>
              <w:rPr>
                <w:sz w:val="18"/>
              </w:rPr>
              <w:t>Business travel</w:t>
            </w:r>
          </w:p>
        </w:tc>
        <w:tc>
          <w:tcPr>
            <w:tcW w:type="dxa" w:w="2160"/>
          </w:tcPr>
          <w:p>
            <w:r/>
            <w:r>
              <w:rPr>
                <w:sz w:val="18"/>
              </w:rPr>
              <w:t>BusinessTravel × Attrition Rate %</w:t>
            </w:r>
          </w:p>
        </w:tc>
        <w:tc>
          <w:tcPr>
            <w:tcW w:type="dxa" w:w="4896"/>
          </w:tcPr>
          <w:p>
            <w:r/>
            <w:r>
              <w:rPr>
                <w:sz w:val="18"/>
              </w:rPr>
              <w:t>Travel frequency against attrition — a workload-related driver previewed here and expanded on page 2.</w:t>
            </w:r>
          </w:p>
        </w:tc>
      </w:tr>
      <w:tr>
        <w:tc>
          <w:tcPr>
            <w:tcW w:type="dxa" w:w="2736"/>
          </w:tcPr>
          <w:p>
            <w:r/>
            <w:r>
              <w:rPr>
                <w:sz w:val="18"/>
              </w:rPr>
              <w:t>Marital status</w:t>
            </w:r>
          </w:p>
        </w:tc>
        <w:tc>
          <w:tcPr>
            <w:tcW w:type="dxa" w:w="2160"/>
          </w:tcPr>
          <w:p>
            <w:r/>
            <w:r>
              <w:rPr>
                <w:sz w:val="18"/>
              </w:rPr>
              <w:t>MaritalStatus × Attrition Rate %</w:t>
            </w:r>
          </w:p>
        </w:tc>
        <w:tc>
          <w:tcPr>
            <w:tcW w:type="dxa" w:w="4896"/>
          </w:tcPr>
          <w:p>
            <w:r/>
            <w:r>
              <w:rPr>
                <w:sz w:val="18"/>
              </w:rPr>
              <w:t>A demographic cut that turns out to be a proxy for equity: in this data every single employee holds zero stock options.</w:t>
            </w:r>
          </w:p>
        </w:tc>
      </w:tr>
    </w:tbl>
    <w:p>
      <w:pPr>
        <w:spacing w:after="80"/>
      </w:pPr>
    </w:p>
    <w:p>
      <w:pPr>
        <w:spacing w:after="120"/>
      </w:pPr>
      <w:r>
        <w:rPr>
          <w:b w:val="0"/>
          <w:i w:val="0"/>
          <w:sz w:val="20"/>
        </w:rPr>
        <w:t>Filters: Department, JobRole, OverTime, ExperienceLevel, AgeBand. All are dropdown slicers in the strip under the page title; they filter every visual on the page.</w:t>
      </w:r>
    </w:p>
    <w:p>
      <w:pPr>
        <w:spacing w:after="40"/>
      </w:pPr>
    </w:p>
    <w:p>
      <w:pPr>
        <w:pStyle w:val="Heading2"/>
      </w:pPr>
      <w:r>
        <w:t>4.2 Why They Leave</w:t>
      </w:r>
    </w:p>
    <w:p>
      <w:pPr>
        <w:spacing w:after="160"/>
      </w:pPr>
      <w:r>
        <w:rPr>
          <w:b w:val="0"/>
          <w:i w:val="0"/>
          <w:sz w:val="21"/>
        </w:rPr>
        <w:t>Answers 'what causes it'. The drivers are laid out in order of statistical strength, with overtime first because it is the strongest factor in the data.</w:t>
      </w:r>
    </w:p>
    <w:p>
      <w:pPr>
        <w:spacing w:after="80"/>
      </w:pPr>
      <w:r>
        <w:rPr>
          <w:b/>
          <w:i w:val="0"/>
          <w:sz w:val="21"/>
        </w:rPr>
        <w:t>Cards</w:t>
      </w:r>
    </w:p>
    <w:tbl>
      <w:tblPr>
        <w:tblStyle w:val="LightGrid-Accent1"/>
        <w:tblW w:type="auto" w:w="0"/>
        <w:jc w:val="center"/>
        <w:tblLook w:firstColumn="1" w:firstRow="1" w:lastColumn="0" w:lastRow="0" w:noHBand="0" w:noVBand="1" w:val="04A0"/>
      </w:tblPr>
      <w:tblGrid>
        <w:gridCol w:w="4896"/>
        <w:gridCol w:w="4896"/>
      </w:tblGrid>
      <w:tr>
        <w:tc>
          <w:tcPr>
            <w:tcW w:type="dxa" w:w="2736"/>
          </w:tcPr>
          <w:p>
            <w:r/>
            <w:r>
              <w:rPr>
                <w:b/>
                <w:sz w:val="19"/>
              </w:rPr>
              <w:t>Measure shown</w:t>
            </w:r>
          </w:p>
        </w:tc>
        <w:tc>
          <w:tcPr>
            <w:tcW w:type="dxa" w:w="7056"/>
          </w:tcPr>
          <w:p>
            <w:r/>
            <w:r>
              <w:rPr>
                <w:b/>
                <w:sz w:val="19"/>
              </w:rPr>
              <w:t>What it tells the reader</w:t>
            </w:r>
          </w:p>
        </w:tc>
      </w:tr>
      <w:tr>
        <w:tc>
          <w:tcPr>
            <w:tcW w:type="dxa" w:w="2736"/>
          </w:tcPr>
          <w:p>
            <w:r/>
            <w:r>
              <w:rPr>
                <w:sz w:val="18"/>
              </w:rPr>
              <w:t>Leavers</w:t>
            </w:r>
          </w:p>
        </w:tc>
        <w:tc>
          <w:tcPr>
            <w:tcW w:type="dxa" w:w="7056"/>
          </w:tcPr>
          <w:p>
            <w:r/>
            <w:r>
              <w:rPr>
                <w:sz w:val="18"/>
              </w:rPr>
              <w:t>The absolute loss. Shown next to the rate because a rate alone hides the size of the problem.</w:t>
            </w:r>
          </w:p>
        </w:tc>
      </w:tr>
      <w:tr>
        <w:tc>
          <w:tcPr>
            <w:tcW w:type="dxa" w:w="2736"/>
          </w:tcPr>
          <w:p>
            <w:r/>
            <w:r>
              <w:rPr>
                <w:sz w:val="18"/>
              </w:rPr>
              <w:t>Total Employees</w:t>
            </w:r>
          </w:p>
        </w:tc>
        <w:tc>
          <w:tcPr>
            <w:tcW w:type="dxa" w:w="7056"/>
          </w:tcPr>
          <w:p>
            <w:r/>
            <w:r>
              <w:rPr>
                <w:sz w:val="18"/>
              </w:rPr>
              <w:t>Headcount in scope. Establishes the base size before any percentage is read.</w:t>
            </w:r>
          </w:p>
        </w:tc>
      </w:tr>
      <w:tr>
        <w:tc>
          <w:tcPr>
            <w:tcW w:type="dxa" w:w="2736"/>
          </w:tcPr>
          <w:p>
            <w:r/>
            <w:r>
              <w:rPr>
                <w:sz w:val="18"/>
              </w:rPr>
              <w:t>Attrition Rate %</w:t>
            </w:r>
          </w:p>
        </w:tc>
        <w:tc>
          <w:tcPr>
            <w:tcW w:type="dxa" w:w="7056"/>
          </w:tcPr>
          <w:p>
            <w:r/>
            <w:r>
              <w:rPr>
                <w:sz w:val="18"/>
              </w:rPr>
              <w:t>The headline figure the whole report exists to explain.</w:t>
            </w:r>
          </w:p>
        </w:tc>
      </w:tr>
      <w:tr>
        <w:tc>
          <w:tcPr>
            <w:tcW w:type="dxa" w:w="2736"/>
          </w:tcPr>
          <w:p>
            <w:r/>
            <w:r>
              <w:rPr>
                <w:sz w:val="18"/>
              </w:rPr>
              <w:t>Attrition Rate OT %</w:t>
            </w:r>
          </w:p>
        </w:tc>
        <w:tc>
          <w:tcPr>
            <w:tcW w:type="dxa" w:w="7056"/>
          </w:tcPr>
          <w:p>
            <w:r/>
            <w:r>
              <w:rPr>
                <w:sz w:val="18"/>
              </w:rPr>
              <w:t>Attrition among overtime workers.</w:t>
            </w:r>
          </w:p>
        </w:tc>
      </w:tr>
      <w:tr>
        <w:tc>
          <w:tcPr>
            <w:tcW w:type="dxa" w:w="2736"/>
          </w:tcPr>
          <w:p>
            <w:r/>
            <w:r>
              <w:rPr>
                <w:sz w:val="18"/>
              </w:rPr>
              <w:t>Attrition Rate No-OT %</w:t>
            </w:r>
          </w:p>
        </w:tc>
        <w:tc>
          <w:tcPr>
            <w:tcW w:type="dxa" w:w="7056"/>
          </w:tcPr>
          <w:p>
            <w:r/>
            <w:r>
              <w:rPr>
                <w:sz w:val="18"/>
              </w:rPr>
              <w:t>Attrition among everyone else — also the realistic target, since the company already achieves it for most staff.</w:t>
            </w:r>
          </w:p>
        </w:tc>
      </w:tr>
      <w:tr>
        <w:tc>
          <w:tcPr>
            <w:tcW w:type="dxa" w:w="2736"/>
          </w:tcPr>
          <w:p>
            <w:r/>
            <w:r>
              <w:rPr>
                <w:sz w:val="18"/>
              </w:rPr>
              <w:t>OverTime Risk Multiplier</w:t>
            </w:r>
          </w:p>
        </w:tc>
        <w:tc>
          <w:tcPr>
            <w:tcW w:type="dxa" w:w="7056"/>
          </w:tcPr>
          <w:p>
            <w:r/>
            <w:r>
              <w:rPr>
                <w:sz w:val="18"/>
              </w:rPr>
              <w:t>The two rates expressed as one ratio.</w:t>
            </w:r>
          </w:p>
        </w:tc>
      </w:tr>
      <w:tr>
        <w:tc>
          <w:tcPr>
            <w:tcW w:type="dxa" w:w="2736"/>
          </w:tcPr>
          <w:p>
            <w:r/>
            <w:r>
              <w:rPr>
                <w:sz w:val="18"/>
              </w:rPr>
              <w:t>% of Total Leavers</w:t>
            </w:r>
          </w:p>
        </w:tc>
        <w:tc>
          <w:tcPr>
            <w:tcW w:type="dxa" w:w="7056"/>
          </w:tcPr>
          <w:p>
            <w:r/>
            <w:r>
              <w:rPr>
                <w:sz w:val="18"/>
              </w:rPr>
              <w:t>The absolute loss. Shown next to the rate because a rate alone hides the size of the problem.</w:t>
            </w:r>
          </w:p>
        </w:tc>
      </w:tr>
      <w:tr>
        <w:tc>
          <w:tcPr>
            <w:tcW w:type="dxa" w:w="2736"/>
          </w:tcPr>
          <w:p>
            <w:r/>
            <w:r>
              <w:rPr>
                <w:sz w:val="18"/>
              </w:rPr>
              <w:t>High-Risk Headcount</w:t>
            </w:r>
          </w:p>
        </w:tc>
        <w:tc>
          <w:tcPr>
            <w:tcW w:type="dxa" w:w="7056"/>
          </w:tcPr>
          <w:p>
            <w:r/>
            <w:r>
              <w:rPr>
                <w:sz w:val="18"/>
              </w:rPr>
              <w:t>Employees still present who match the worst profile — the actionable count.</w:t>
            </w:r>
          </w:p>
        </w:tc>
      </w:tr>
    </w:tbl>
    <w:p>
      <w:pPr>
        <w:spacing w:after="80"/>
      </w:pPr>
    </w:p>
    <w:p>
      <w:pPr>
        <w:spacing w:after="80"/>
      </w:pPr>
      <w:r>
        <w:rPr>
          <w:b/>
          <w:i w:val="0"/>
          <w:sz w:val="21"/>
        </w:rPr>
        <w:t>Charts</w:t>
      </w:r>
    </w:p>
    <w:tbl>
      <w:tblPr>
        <w:tblStyle w:val="LightGrid-Accent1"/>
        <w:tblW w:type="auto" w:w="0"/>
        <w:jc w:val="center"/>
        <w:tblLook w:firstColumn="1" w:firstRow="1" w:lastColumn="0" w:lastRow="0" w:noHBand="0" w:noVBand="1" w:val="04A0"/>
      </w:tblPr>
      <w:tblGrid>
        <w:gridCol w:w="3264"/>
        <w:gridCol w:w="3264"/>
        <w:gridCol w:w="3264"/>
      </w:tblGrid>
      <w:tr>
        <w:tc>
          <w:tcPr>
            <w:tcW w:type="dxa" w:w="2736"/>
          </w:tcPr>
          <w:p>
            <w:r/>
            <w:r>
              <w:rPr>
                <w:b/>
                <w:sz w:val="19"/>
              </w:rPr>
              <w:t>Visual</w:t>
            </w:r>
          </w:p>
        </w:tc>
        <w:tc>
          <w:tcPr>
            <w:tcW w:type="dxa" w:w="2160"/>
          </w:tcPr>
          <w:p>
            <w:r/>
            <w:r>
              <w:rPr>
                <w:b/>
                <w:sz w:val="19"/>
              </w:rPr>
              <w:t>Axis × value</w:t>
            </w:r>
          </w:p>
        </w:tc>
        <w:tc>
          <w:tcPr>
            <w:tcW w:type="dxa" w:w="4896"/>
          </w:tcPr>
          <w:p>
            <w:r/>
            <w:r>
              <w:rPr>
                <w:b/>
                <w:sz w:val="19"/>
              </w:rPr>
              <w:t>What it shows</w:t>
            </w:r>
          </w:p>
        </w:tc>
      </w:tr>
      <w:tr>
        <w:tc>
          <w:tcPr>
            <w:tcW w:type="dxa" w:w="2736"/>
          </w:tcPr>
          <w:p>
            <w:r/>
            <w:r>
              <w:rPr>
                <w:sz w:val="18"/>
              </w:rPr>
              <w:t>Overtime vs Attrition Rate</w:t>
            </w:r>
          </w:p>
        </w:tc>
        <w:tc>
          <w:tcPr>
            <w:tcW w:type="dxa" w:w="2160"/>
          </w:tcPr>
          <w:p>
            <w:r/>
            <w:r>
              <w:rPr>
                <w:sz w:val="18"/>
              </w:rPr>
              <w:t>OverTime × Attrition Rate %</w:t>
            </w:r>
          </w:p>
        </w:tc>
        <w:tc>
          <w:tcPr>
            <w:tcW w:type="dxa" w:w="4896"/>
          </w:tcPr>
          <w:p>
            <w:r/>
            <w:r>
              <w:rPr>
                <w:sz w:val="18"/>
              </w:rPr>
            </w:r>
          </w:p>
        </w:tc>
      </w:tr>
      <w:tr>
        <w:tc>
          <w:tcPr>
            <w:tcW w:type="dxa" w:w="2736"/>
          </w:tcPr>
          <w:p>
            <w:r/>
            <w:r>
              <w:rPr>
                <w:sz w:val="18"/>
              </w:rPr>
              <w:t>Attrition Rate by Income Band</w:t>
            </w:r>
          </w:p>
        </w:tc>
        <w:tc>
          <w:tcPr>
            <w:tcW w:type="dxa" w:w="2160"/>
          </w:tcPr>
          <w:p>
            <w:r/>
            <w:r>
              <w:rPr>
                <w:sz w:val="18"/>
              </w:rPr>
              <w:t>IncomeBand × Attrition Rate %</w:t>
            </w:r>
          </w:p>
        </w:tc>
        <w:tc>
          <w:tcPr>
            <w:tcW w:type="dxa" w:w="4896"/>
          </w:tcPr>
          <w:p>
            <w:r/>
            <w:r>
              <w:rPr>
                <w:sz w:val="18"/>
              </w:rPr>
            </w:r>
          </w:p>
        </w:tc>
      </w:tr>
      <w:tr>
        <w:tc>
          <w:tcPr>
            <w:tcW w:type="dxa" w:w="2736"/>
          </w:tcPr>
          <w:p>
            <w:r/>
            <w:r>
              <w:rPr>
                <w:sz w:val="18"/>
              </w:rPr>
              <w:t xml:space="preserve">Attrition Rate by Stock Level </w:t>
            </w:r>
          </w:p>
        </w:tc>
        <w:tc>
          <w:tcPr>
            <w:tcW w:type="dxa" w:w="2160"/>
          </w:tcPr>
          <w:p>
            <w:r/>
            <w:r>
              <w:rPr>
                <w:sz w:val="18"/>
              </w:rPr>
              <w:t>StockOptionLevel × Attrition Rate %</w:t>
            </w:r>
          </w:p>
        </w:tc>
        <w:tc>
          <w:tcPr>
            <w:tcW w:type="dxa" w:w="4896"/>
          </w:tcPr>
          <w:p>
            <w:r/>
            <w:r>
              <w:rPr>
                <w:sz w:val="18"/>
              </w:rPr>
            </w:r>
          </w:p>
        </w:tc>
      </w:tr>
      <w:tr>
        <w:tc>
          <w:tcPr>
            <w:tcW w:type="dxa" w:w="2736"/>
          </w:tcPr>
          <w:p>
            <w:r/>
            <w:r>
              <w:rPr>
                <w:sz w:val="18"/>
              </w:rPr>
              <w:t>Heat matrix: role x overtime — worst cell 66.7%</w:t>
            </w:r>
          </w:p>
        </w:tc>
        <w:tc>
          <w:tcPr>
            <w:tcW w:type="dxa" w:w="2160"/>
          </w:tcPr>
          <w:p>
            <w:r/>
            <w:r>
              <w:rPr>
                <w:sz w:val="18"/>
              </w:rPr>
              <w:t>JobRole × Attrition Rate %</w:t>
            </w:r>
          </w:p>
        </w:tc>
        <w:tc>
          <w:tcPr>
            <w:tcW w:type="dxa" w:w="4896"/>
          </w:tcPr>
          <w:p>
            <w:r/>
            <w:r>
              <w:rPr>
                <w:sz w:val="18"/>
              </w:rPr>
              <w:t>Job role against overtime. Reading a matrix rather than two separate charts is what exposes the compound effect — the worst cell is far worse than either factor alone.</w:t>
            </w:r>
          </w:p>
        </w:tc>
      </w:tr>
      <w:tr>
        <w:tc>
          <w:tcPr>
            <w:tcW w:type="dxa" w:w="2736"/>
          </w:tcPr>
          <w:p>
            <w:r/>
            <w:r>
              <w:rPr>
                <w:sz w:val="18"/>
              </w:rPr>
              <w:t>Job satisfaction</w:t>
            </w:r>
          </w:p>
        </w:tc>
        <w:tc>
          <w:tcPr>
            <w:tcW w:type="dxa" w:w="2160"/>
          </w:tcPr>
          <w:p>
            <w:r/>
            <w:r>
              <w:rPr>
                <w:sz w:val="18"/>
              </w:rPr>
              <w:t>JobSatisfaction × Attrition Rate %</w:t>
            </w:r>
          </w:p>
        </w:tc>
        <w:tc>
          <w:tcPr>
            <w:tcW w:type="dxa" w:w="4896"/>
          </w:tcPr>
          <w:p>
            <w:r/>
            <w:r>
              <w:rPr>
                <w:sz w:val="18"/>
              </w:rPr>
              <w:t>Satisfaction score against attrition. The pattern is a threshold, not a gradient: almost all the signal sits at the lowest score.</w:t>
            </w:r>
          </w:p>
        </w:tc>
      </w:tr>
      <w:tr>
        <w:tc>
          <w:tcPr>
            <w:tcW w:type="dxa" w:w="2736"/>
          </w:tcPr>
          <w:p>
            <w:r/>
            <w:r>
              <w:rPr>
                <w:sz w:val="18"/>
              </w:rPr>
              <w:t>Environment satisfaction</w:t>
            </w:r>
          </w:p>
        </w:tc>
        <w:tc>
          <w:tcPr>
            <w:tcW w:type="dxa" w:w="2160"/>
          </w:tcPr>
          <w:p>
            <w:r/>
            <w:r>
              <w:rPr>
                <w:sz w:val="18"/>
              </w:rPr>
              <w:t>EnvironmentSatisfaction × Attrition Rate %</w:t>
            </w:r>
          </w:p>
        </w:tc>
        <w:tc>
          <w:tcPr>
            <w:tcW w:type="dxa" w:w="4896"/>
          </w:tcPr>
          <w:p>
            <w:r/>
            <w:r>
              <w:rPr>
                <w:sz w:val="18"/>
              </w:rPr>
              <w:t>The same threshold pattern on a second satisfaction dimension, which is why the recommendation targets the bottom score only.</w:t>
            </w:r>
          </w:p>
        </w:tc>
      </w:tr>
    </w:tbl>
    <w:p>
      <w:pPr>
        <w:spacing w:after="80"/>
      </w:pPr>
    </w:p>
    <w:p>
      <w:pPr>
        <w:spacing w:after="120"/>
      </w:pPr>
      <w:r>
        <w:rPr>
          <w:b w:val="0"/>
          <w:i w:val="0"/>
          <w:sz w:val="20"/>
        </w:rPr>
        <w:t>Filters: Department, JobRole, OverTime, ExperienceLevel, AgeBand. All are dropdown slicers in the strip under the page title; they filter every visual on the page.</w:t>
      </w:r>
    </w:p>
    <w:p>
      <w:pPr>
        <w:spacing w:after="40"/>
      </w:pPr>
    </w:p>
    <w:p>
      <w:pPr>
        <w:pStyle w:val="Heading2"/>
      </w:pPr>
      <w:r>
        <w:t>4.3 Risk Segments &amp; What-If Scenario</w:t>
      </w:r>
    </w:p>
    <w:p>
      <w:pPr>
        <w:spacing w:after="160"/>
      </w:pPr>
      <w:r>
        <w:rPr>
          <w:b w:val="0"/>
          <w:i w:val="0"/>
          <w:sz w:val="21"/>
        </w:rPr>
        <w:t>Answers 'who is at risk and what is it worth to fix'. The top of the page is a live simulation; the bottom is the population it applies to, ending in a named watchlist.</w:t>
      </w:r>
    </w:p>
    <w:p>
      <w:pPr>
        <w:spacing w:after="80"/>
      </w:pPr>
      <w:r>
        <w:rPr>
          <w:b/>
          <w:i w:val="0"/>
          <w:sz w:val="21"/>
        </w:rPr>
        <w:t>Cards</w:t>
      </w:r>
    </w:p>
    <w:tbl>
      <w:tblPr>
        <w:tblStyle w:val="LightGrid-Accent1"/>
        <w:tblW w:type="auto" w:w="0"/>
        <w:jc w:val="center"/>
        <w:tblLook w:firstColumn="1" w:firstRow="1" w:lastColumn="0" w:lastRow="0" w:noHBand="0" w:noVBand="1" w:val="04A0"/>
      </w:tblPr>
      <w:tblGrid>
        <w:gridCol w:w="4896"/>
        <w:gridCol w:w="4896"/>
      </w:tblGrid>
      <w:tr>
        <w:tc>
          <w:tcPr>
            <w:tcW w:type="dxa" w:w="2736"/>
          </w:tcPr>
          <w:p>
            <w:r/>
            <w:r>
              <w:rPr>
                <w:b/>
                <w:sz w:val="19"/>
              </w:rPr>
              <w:t>Measure shown</w:t>
            </w:r>
          </w:p>
        </w:tc>
        <w:tc>
          <w:tcPr>
            <w:tcW w:type="dxa" w:w="7056"/>
          </w:tcPr>
          <w:p>
            <w:r/>
            <w:r>
              <w:rPr>
                <w:b/>
                <w:sz w:val="19"/>
              </w:rPr>
              <w:t>What it tells the reader</w:t>
            </w:r>
          </w:p>
        </w:tc>
      </w:tr>
      <w:tr>
        <w:tc>
          <w:tcPr>
            <w:tcW w:type="dxa" w:w="2736"/>
          </w:tcPr>
          <w:p>
            <w:r/>
            <w:r>
              <w:rPr>
                <w:sz w:val="18"/>
              </w:rPr>
              <w:t>Attrition Rate %</w:t>
            </w:r>
          </w:p>
        </w:tc>
        <w:tc>
          <w:tcPr>
            <w:tcW w:type="dxa" w:w="7056"/>
          </w:tcPr>
          <w:p>
            <w:r/>
            <w:r>
              <w:rPr>
                <w:sz w:val="18"/>
              </w:rPr>
              <w:t>The headline figure the whole report exists to explain.</w:t>
            </w:r>
          </w:p>
        </w:tc>
      </w:tr>
      <w:tr>
        <w:tc>
          <w:tcPr>
            <w:tcW w:type="dxa" w:w="2736"/>
          </w:tcPr>
          <w:p>
            <w:r/>
            <w:r>
              <w:rPr>
                <w:sz w:val="18"/>
              </w:rPr>
              <w:t>Total Employees</w:t>
            </w:r>
          </w:p>
        </w:tc>
        <w:tc>
          <w:tcPr>
            <w:tcW w:type="dxa" w:w="7056"/>
          </w:tcPr>
          <w:p>
            <w:r/>
            <w:r>
              <w:rPr>
                <w:sz w:val="18"/>
              </w:rPr>
              <w:t>Headcount in scope. Establishes the base size before any percentage is read.</w:t>
            </w:r>
          </w:p>
        </w:tc>
      </w:tr>
      <w:tr>
        <w:tc>
          <w:tcPr>
            <w:tcW w:type="dxa" w:w="2736"/>
          </w:tcPr>
          <w:p>
            <w:r/>
            <w:r>
              <w:rPr>
                <w:sz w:val="18"/>
              </w:rPr>
              <w:t>Leavers</w:t>
            </w:r>
          </w:p>
        </w:tc>
        <w:tc>
          <w:tcPr>
            <w:tcW w:type="dxa" w:w="7056"/>
          </w:tcPr>
          <w:p>
            <w:r/>
            <w:r>
              <w:rPr>
                <w:sz w:val="18"/>
              </w:rPr>
              <w:t>The absolute loss. Shown next to the rate because a rate alone hides the size of the problem.</w:t>
            </w:r>
          </w:p>
        </w:tc>
      </w:tr>
      <w:tr>
        <w:tc>
          <w:tcPr>
            <w:tcW w:type="dxa" w:w="2736"/>
          </w:tcPr>
          <w:p>
            <w:r/>
            <w:r>
              <w:rPr>
                <w:sz w:val="18"/>
              </w:rPr>
              <w:t>Simulated Attrition Rate %</w:t>
            </w:r>
          </w:p>
        </w:tc>
        <w:tc>
          <w:tcPr>
            <w:tcW w:type="dxa" w:w="7056"/>
          </w:tcPr>
          <w:p>
            <w:r/>
            <w:r>
              <w:rPr>
                <w:sz w:val="18"/>
              </w:rPr>
              <w:t>The headline figure the whole report exists to explain.</w:t>
            </w:r>
          </w:p>
        </w:tc>
      </w:tr>
      <w:tr>
        <w:tc>
          <w:tcPr>
            <w:tcW w:type="dxa" w:w="2736"/>
          </w:tcPr>
          <w:p>
            <w:r/>
            <w:r>
              <w:rPr>
                <w:sz w:val="18"/>
              </w:rPr>
              <w:t>Exits Prevented (Scenario)</w:t>
            </w:r>
          </w:p>
        </w:tc>
        <w:tc>
          <w:tcPr>
            <w:tcW w:type="dxa" w:w="7056"/>
          </w:tcPr>
          <w:p>
            <w:r/>
            <w:r>
              <w:rPr>
                <w:sz w:val="18"/>
              </w:rPr>
              <w:t>The what-if control. Moving it re-runs the simulation across the four cards below.</w:t>
            </w:r>
          </w:p>
        </w:tc>
      </w:tr>
      <w:tr>
        <w:tc>
          <w:tcPr>
            <w:tcW w:type="dxa" w:w="2736"/>
          </w:tcPr>
          <w:p>
            <w:r/>
            <w:r>
              <w:rPr>
                <w:sz w:val="18"/>
              </w:rPr>
              <w:t>Cost Saved (Scenario)</w:t>
            </w:r>
          </w:p>
        </w:tc>
        <w:tc>
          <w:tcPr>
            <w:tcW w:type="dxa" w:w="7056"/>
          </w:tcPr>
          <w:p>
            <w:r/>
            <w:r>
              <w:rPr>
                <w:sz w:val="18"/>
              </w:rPr>
              <w:t>The what-if control. Moving it re-runs the simulation across the four cards below.</w:t>
            </w:r>
          </w:p>
        </w:tc>
      </w:tr>
      <w:tr>
        <w:tc>
          <w:tcPr>
            <w:tcW w:type="dxa" w:w="2736"/>
          </w:tcPr>
          <w:p>
            <w:r/>
            <w:r>
              <w:rPr>
                <w:sz w:val="18"/>
              </w:rPr>
              <w:t>Simulated Leavers</w:t>
            </w:r>
          </w:p>
        </w:tc>
        <w:tc>
          <w:tcPr>
            <w:tcW w:type="dxa" w:w="7056"/>
          </w:tcPr>
          <w:p>
            <w:r/>
            <w:r>
              <w:rPr>
                <w:sz w:val="18"/>
              </w:rPr>
              <w:t>The absolute loss. Shown next to the rate because a rate alone hides the size of the problem.</w:t>
            </w:r>
          </w:p>
        </w:tc>
      </w:tr>
      <w:tr>
        <w:tc>
          <w:tcPr>
            <w:tcW w:type="dxa" w:w="2736"/>
          </w:tcPr>
          <w:p>
            <w:r/>
            <w:r>
              <w:rPr>
                <w:sz w:val="18"/>
              </w:rPr>
              <w:t>Scenario Narrative</w:t>
            </w:r>
          </w:p>
        </w:tc>
        <w:tc>
          <w:tcPr>
            <w:tcW w:type="dxa" w:w="7056"/>
          </w:tcPr>
          <w:p>
            <w:r/>
            <w:r>
              <w:rPr>
                <w:sz w:val="18"/>
              </w:rPr>
              <w:t>The what-if control. Moving it re-runs the simulation across the four cards below.</w:t>
            </w:r>
          </w:p>
        </w:tc>
      </w:tr>
    </w:tbl>
    <w:p>
      <w:pPr>
        <w:spacing w:after="80"/>
      </w:pPr>
    </w:p>
    <w:p>
      <w:pPr>
        <w:spacing w:after="80"/>
      </w:pPr>
      <w:r>
        <w:rPr>
          <w:b/>
          <w:i w:val="0"/>
          <w:sz w:val="21"/>
        </w:rPr>
        <w:t>Charts</w:t>
      </w:r>
    </w:p>
    <w:tbl>
      <w:tblPr>
        <w:tblStyle w:val="LightGrid-Accent1"/>
        <w:tblW w:type="auto" w:w="0"/>
        <w:jc w:val="center"/>
        <w:tblLook w:firstColumn="1" w:firstRow="1" w:lastColumn="0" w:lastRow="0" w:noHBand="0" w:noVBand="1" w:val="04A0"/>
      </w:tblPr>
      <w:tblGrid>
        <w:gridCol w:w="3264"/>
        <w:gridCol w:w="3264"/>
        <w:gridCol w:w="3264"/>
      </w:tblGrid>
      <w:tr>
        <w:tc>
          <w:tcPr>
            <w:tcW w:type="dxa" w:w="2736"/>
          </w:tcPr>
          <w:p>
            <w:r/>
            <w:r>
              <w:rPr>
                <w:b/>
                <w:sz w:val="19"/>
              </w:rPr>
              <w:t>Visual</w:t>
            </w:r>
          </w:p>
        </w:tc>
        <w:tc>
          <w:tcPr>
            <w:tcW w:type="dxa" w:w="2160"/>
          </w:tcPr>
          <w:p>
            <w:r/>
            <w:r>
              <w:rPr>
                <w:b/>
                <w:sz w:val="19"/>
              </w:rPr>
              <w:t>Axis × value</w:t>
            </w:r>
          </w:p>
        </w:tc>
        <w:tc>
          <w:tcPr>
            <w:tcW w:type="dxa" w:w="4896"/>
          </w:tcPr>
          <w:p>
            <w:r/>
            <w:r>
              <w:rPr>
                <w:b/>
                <w:sz w:val="19"/>
              </w:rPr>
              <w:t>What it shows</w:t>
            </w:r>
          </w:p>
        </w:tc>
      </w:tr>
      <w:tr>
        <w:tc>
          <w:tcPr>
            <w:tcW w:type="dxa" w:w="2736"/>
          </w:tcPr>
          <w:p>
            <w:r/>
            <w:r>
              <w:rPr>
                <w:sz w:val="18"/>
              </w:rPr>
              <w:t>First-year cliff: 34.9% falling to 6.7% at 11-20 years</w:t>
            </w:r>
          </w:p>
        </w:tc>
        <w:tc>
          <w:tcPr>
            <w:tcW w:type="dxa" w:w="2160"/>
          </w:tcPr>
          <w:p>
            <w:r/>
            <w:r>
              <w:rPr>
                <w:sz w:val="18"/>
              </w:rPr>
              <w:t>TenureBand × Attrition Rate %</w:t>
            </w:r>
          </w:p>
        </w:tc>
        <w:tc>
          <w:tcPr>
            <w:tcW w:type="dxa" w:w="4896"/>
          </w:tcPr>
          <w:p>
            <w:r/>
            <w:r>
              <w:rPr>
                <w:sz w:val="18"/>
              </w:rPr>
              <w:t>Attrition by tenure band. The first-year figure is the single most expensive number in the report, because recruiting and onboarding cost is lost before it pays back.</w:t>
            </w:r>
          </w:p>
        </w:tc>
      </w:tr>
      <w:tr>
        <w:tc>
          <w:tcPr>
            <w:tcW w:type="dxa" w:w="2736"/>
          </w:tcPr>
          <w:p>
            <w:r/>
            <w:r>
              <w:rPr>
                <w:sz w:val="18"/>
              </w:rPr>
              <w:t>Age: 35.8% at 18-25 down to 9.2% at 36-45</w:t>
            </w:r>
          </w:p>
        </w:tc>
        <w:tc>
          <w:tcPr>
            <w:tcW w:type="dxa" w:w="2160"/>
          </w:tcPr>
          <w:p>
            <w:r/>
            <w:r>
              <w:rPr>
                <w:sz w:val="18"/>
              </w:rPr>
              <w:t>AgeBand × Attrition Rate %</w:t>
            </w:r>
          </w:p>
        </w:tc>
        <w:tc>
          <w:tcPr>
            <w:tcW w:type="dxa" w:w="4896"/>
          </w:tcPr>
          <w:p>
            <w:r/>
            <w:r>
              <w:rPr>
                <w:sz w:val="18"/>
              </w:rPr>
              <w:t>Attrition by age band — the same front-loading seen from a different angle.</w:t>
            </w:r>
          </w:p>
        </w:tc>
      </w:tr>
      <w:tr>
        <w:tc>
          <w:tcPr>
            <w:tcW w:type="dxa" w:w="2736"/>
          </w:tcPr>
          <w:p>
            <w:r/>
            <w:r>
              <w:rPr>
                <w:sz w:val="18"/>
              </w:rPr>
              <w:t>Age vs income — leavers cluster bottom-left; top earners rarely leave</w:t>
            </w:r>
          </w:p>
        </w:tc>
        <w:tc>
          <w:tcPr>
            <w:tcW w:type="dxa" w:w="2160"/>
          </w:tcPr>
          <w:p>
            <w:r/>
            <w:r>
              <w:rPr>
                <w:sz w:val="18"/>
              </w:rPr>
              <w:t>EmployeeNumber × MonthlyIncome</w:t>
            </w:r>
          </w:p>
        </w:tc>
        <w:tc>
          <w:tcPr>
            <w:tcW w:type="dxa" w:w="4896"/>
          </w:tcPr>
          <w:p>
            <w:r/>
            <w:r>
              <w:rPr>
                <w:sz w:val="18"/>
              </w:rPr>
              <w:t>The absolute loss. Shown next to the rate because a rate alone hides the size of the problem.</w:t>
            </w:r>
          </w:p>
        </w:tc>
      </w:tr>
      <w:tr>
        <w:tc>
          <w:tcPr>
            <w:tcW w:type="dxa" w:w="2736"/>
          </w:tcPr>
          <w:p>
            <w:r/>
            <w:r>
              <w:rPr>
                <w:sz w:val="18"/>
              </w:rPr>
              <w:t>Watchlist: current staff in the 52.6% profile (overtime + entry level)</w:t>
            </w:r>
          </w:p>
        </w:tc>
        <w:tc>
          <w:tcPr>
            <w:tcW w:type="dxa" w:w="2160"/>
          </w:tcPr>
          <w:p>
            <w:r/>
            <w:r>
              <w:rPr>
                <w:sz w:val="18"/>
              </w:rPr>
              <w:t>- × JobSatisfaction</w:t>
            </w:r>
          </w:p>
        </w:tc>
        <w:tc>
          <w:tcPr>
            <w:tcW w:type="dxa" w:w="4896"/>
          </w:tcPr>
          <w:p>
            <w:r/>
            <w:r>
              <w:rPr>
                <w:sz w:val="18"/>
              </w:rPr>
              <w:t>Employees still at the company who match the highest-risk profile. Filtered to Attrition = No so it lists people who can still be retained — this is the operational hand-off from analysis to HR.</w:t>
            </w:r>
          </w:p>
        </w:tc>
      </w:tr>
    </w:tbl>
    <w:p>
      <w:pPr>
        <w:spacing w:after="80"/>
      </w:pPr>
    </w:p>
    <w:p>
      <w:pPr>
        <w:spacing w:after="120"/>
      </w:pPr>
      <w:r>
        <w:rPr>
          <w:b w:val="0"/>
          <w:i w:val="0"/>
          <w:sz w:val="20"/>
        </w:rPr>
        <w:t>Filters: Department, JobRole, OverTime, ExperienceLevel, AgeBand, OT Reduction %. All are dropdown slicers in the strip under the page title; they filter every visual on the page.</w:t>
      </w:r>
    </w:p>
    <w:p>
      <w:pPr>
        <w:spacing w:after="40"/>
      </w:pPr>
    </w:p>
    <w:p>
      <w:pPr>
        <w:pStyle w:val="Heading2"/>
      </w:pPr>
      <w:r>
        <w:t>4.4 Insights &amp; Recommended Plan</w:t>
      </w:r>
    </w:p>
    <w:p>
      <w:pPr>
        <w:spacing w:after="160"/>
      </w:pPr>
      <w:r>
        <w:rPr>
          <w:b w:val="0"/>
          <w:i w:val="0"/>
          <w:sz w:val="21"/>
        </w:rPr>
        <w:t>The written conclusions and the sequenced roadmap, kept inside the report so the file can be presented without a second document.</w:t>
      </w:r>
    </w:p>
    <w:p>
      <w:pPr>
        <w:spacing w:after="80"/>
      </w:pPr>
      <w:r>
        <w:rPr>
          <w:b/>
          <w:i w:val="0"/>
          <w:sz w:val="21"/>
        </w:rPr>
        <w:t>Cards</w:t>
      </w:r>
    </w:p>
    <w:tbl>
      <w:tblPr>
        <w:tblStyle w:val="LightGrid-Accent1"/>
        <w:tblW w:type="auto" w:w="0"/>
        <w:jc w:val="center"/>
        <w:tblLook w:firstColumn="1" w:firstRow="1" w:lastColumn="0" w:lastRow="0" w:noHBand="0" w:noVBand="1" w:val="04A0"/>
      </w:tblPr>
      <w:tblGrid>
        <w:gridCol w:w="4896"/>
        <w:gridCol w:w="4896"/>
      </w:tblGrid>
      <w:tr>
        <w:tc>
          <w:tcPr>
            <w:tcW w:type="dxa" w:w="2736"/>
          </w:tcPr>
          <w:p>
            <w:r/>
            <w:r>
              <w:rPr>
                <w:b/>
                <w:sz w:val="19"/>
              </w:rPr>
              <w:t>Measure shown</w:t>
            </w:r>
          </w:p>
        </w:tc>
        <w:tc>
          <w:tcPr>
            <w:tcW w:type="dxa" w:w="7056"/>
          </w:tcPr>
          <w:p>
            <w:r/>
            <w:r>
              <w:rPr>
                <w:b/>
                <w:sz w:val="19"/>
              </w:rPr>
              <w:t>What it tells the reader</w:t>
            </w:r>
          </w:p>
        </w:tc>
      </w:tr>
      <w:tr>
        <w:tc>
          <w:tcPr>
            <w:tcW w:type="dxa" w:w="2736"/>
          </w:tcPr>
          <w:p>
            <w:r/>
            <w:r>
              <w:rPr>
                <w:sz w:val="18"/>
              </w:rPr>
              <w:t>Total Employees</w:t>
            </w:r>
          </w:p>
        </w:tc>
        <w:tc>
          <w:tcPr>
            <w:tcW w:type="dxa" w:w="7056"/>
          </w:tcPr>
          <w:p>
            <w:r/>
            <w:r>
              <w:rPr>
                <w:sz w:val="18"/>
              </w:rPr>
              <w:t>Headcount in scope. Establishes the base size before any percentage is read.</w:t>
            </w:r>
          </w:p>
        </w:tc>
      </w:tr>
      <w:tr>
        <w:tc>
          <w:tcPr>
            <w:tcW w:type="dxa" w:w="2736"/>
          </w:tcPr>
          <w:p>
            <w:r/>
            <w:r>
              <w:rPr>
                <w:sz w:val="18"/>
              </w:rPr>
              <w:t>Leavers</w:t>
            </w:r>
          </w:p>
        </w:tc>
        <w:tc>
          <w:tcPr>
            <w:tcW w:type="dxa" w:w="7056"/>
          </w:tcPr>
          <w:p>
            <w:r/>
            <w:r>
              <w:rPr>
                <w:sz w:val="18"/>
              </w:rPr>
              <w:t>The absolute loss. Shown next to the rate because a rate alone hides the size of the problem.</w:t>
            </w:r>
          </w:p>
        </w:tc>
      </w:tr>
      <w:tr>
        <w:tc>
          <w:tcPr>
            <w:tcW w:type="dxa" w:w="2736"/>
          </w:tcPr>
          <w:p>
            <w:r/>
            <w:r>
              <w:rPr>
                <w:sz w:val="18"/>
              </w:rPr>
              <w:t>Attrition Rate %</w:t>
            </w:r>
          </w:p>
        </w:tc>
        <w:tc>
          <w:tcPr>
            <w:tcW w:type="dxa" w:w="7056"/>
          </w:tcPr>
          <w:p>
            <w:r/>
            <w:r>
              <w:rPr>
                <w:sz w:val="18"/>
              </w:rPr>
              <w:t>The headline figure the whole report exists to explain.</w:t>
            </w:r>
          </w:p>
        </w:tc>
      </w:tr>
    </w:tbl>
    <w:p>
      <w:pPr>
        <w:spacing w:after="80"/>
      </w:pPr>
    </w:p>
    <w:p>
      <w:pPr>
        <w:spacing w:after="120"/>
      </w:pPr>
      <w:r>
        <w:rPr>
          <w:b w:val="0"/>
          <w:i w:val="0"/>
          <w:sz w:val="20"/>
        </w:rPr>
        <w:t>Text panels: 9 written insight cards, each stating the finding, the figures behind it, and the recommended action.</w:t>
      </w:r>
    </w:p>
    <w:p>
      <w:pPr>
        <w:spacing w:after="40"/>
      </w:pPr>
    </w:p>
    <w:p>
      <w:r>
        <w:br w:type="page"/>
      </w:r>
    </w:p>
    <w:p>
      <w:pPr>
        <w:pStyle w:val="Heading1"/>
      </w:pPr>
      <w:r>
        <w:t>5. Conventions and choices worth knowing</w:t>
      </w:r>
    </w:p>
    <w:tbl>
      <w:tblPr>
        <w:tblStyle w:val="LightGrid-Accent1"/>
        <w:tblW w:type="auto" w:w="0"/>
        <w:jc w:val="center"/>
        <w:tblLook w:firstColumn="1" w:firstRow="1" w:lastColumn="0" w:lastRow="0" w:noHBand="0" w:noVBand="1" w:val="04A0"/>
      </w:tblPr>
      <w:tblGrid>
        <w:gridCol w:w="4896"/>
        <w:gridCol w:w="4896"/>
      </w:tblGrid>
      <w:tr>
        <w:tc>
          <w:tcPr>
            <w:tcW w:type="dxa" w:w="3456"/>
          </w:tcPr>
          <w:p>
            <w:r/>
            <w:r>
              <w:rPr>
                <w:b/>
                <w:sz w:val="19"/>
              </w:rPr>
              <w:t>Choice</w:t>
            </w:r>
          </w:p>
        </w:tc>
        <w:tc>
          <w:tcPr>
            <w:tcW w:type="dxa" w:w="6336"/>
          </w:tcPr>
          <w:p>
            <w:r/>
            <w:r>
              <w:rPr>
                <w:b/>
                <w:sz w:val="19"/>
              </w:rPr>
              <w:t>Reason</w:t>
            </w:r>
          </w:p>
        </w:tc>
      </w:tr>
      <w:tr>
        <w:tc>
          <w:tcPr>
            <w:tcW w:type="dxa" w:w="3456"/>
          </w:tcPr>
          <w:p>
            <w:r/>
            <w:r>
              <w:rPr>
                <w:sz w:val="18"/>
              </w:rPr>
              <w:t>Reference, not Duplicate, for the dimension queries</w:t>
            </w:r>
          </w:p>
        </w:tc>
        <w:tc>
          <w:tcPr>
            <w:tcW w:type="dxa" w:w="6336"/>
          </w:tcPr>
          <w:p>
            <w:r/>
            <w:r>
              <w:rPr>
                <w:sz w:val="18"/>
              </w:rPr>
              <w:t>One cleaning path. A change to Employees_Raw reaches all five dimensions.</w:t>
            </w:r>
          </w:p>
        </w:tc>
      </w:tr>
      <w:tr>
        <w:tc>
          <w:tcPr>
            <w:tcW w:type="dxa" w:w="3456"/>
          </w:tcPr>
          <w:p>
            <w:r/>
            <w:r>
              <w:rPr>
                <w:sz w:val="18"/>
              </w:rPr>
              <w:t>Constant columns dropped at the source</w:t>
            </w:r>
          </w:p>
        </w:tc>
        <w:tc>
          <w:tcPr>
            <w:tcW w:type="dxa" w:w="6336"/>
          </w:tcPr>
          <w:p>
            <w:r/>
            <w:r>
              <w:rPr>
                <w:sz w:val="18"/>
              </w:rPr>
              <w:t>EmployeeCount, Over18 and StandardHours have one distinct value each; they can explain nothing and only consume memory.</w:t>
            </w:r>
          </w:p>
        </w:tc>
      </w:tr>
      <w:tr>
        <w:tc>
          <w:tcPr>
            <w:tcW w:type="dxa" w:w="3456"/>
          </w:tcPr>
          <w:p>
            <w:r/>
            <w:r>
              <w:rPr>
                <w:sz w:val="18"/>
              </w:rPr>
              <w:t>Surrogate integer keys</w:t>
            </w:r>
          </w:p>
        </w:tc>
        <w:tc>
          <w:tcPr>
            <w:tcW w:type="dxa" w:w="6336"/>
          </w:tcPr>
          <w:p>
            <w:r/>
            <w:r>
              <w:rPr>
                <w:sz w:val="18"/>
              </w:rPr>
              <w:t>Integer joins compress and scan better than text joins, and they insulate the model from a rename in the source.</w:t>
            </w:r>
          </w:p>
        </w:tc>
      </w:tr>
      <w:tr>
        <w:tc>
          <w:tcPr>
            <w:tcW w:type="dxa" w:w="3456"/>
          </w:tcPr>
          <w:p>
            <w:r/>
            <w:r>
              <w:rPr>
                <w:sz w:val="18"/>
              </w:rPr>
              <w:t>Single-direction relationships</w:t>
            </w:r>
          </w:p>
        </w:tc>
        <w:tc>
          <w:tcPr>
            <w:tcW w:type="dxa" w:w="6336"/>
          </w:tcPr>
          <w:p>
            <w:r/>
            <w:r>
              <w:rPr>
                <w:sz w:val="18"/>
              </w:rPr>
              <w:t>No ambiguity, and no need for bi-directional filtering with this schema.</w:t>
            </w:r>
          </w:p>
        </w:tc>
      </w:tr>
      <w:tr>
        <w:tc>
          <w:tcPr>
            <w:tcW w:type="dxa" w:w="3456"/>
          </w:tcPr>
          <w:p>
            <w:r/>
            <w:r>
              <w:rPr>
                <w:sz w:val="18"/>
              </w:rPr>
              <w:t>Measures in a dedicated _Measures table</w:t>
            </w:r>
          </w:p>
        </w:tc>
        <w:tc>
          <w:tcPr>
            <w:tcW w:type="dxa" w:w="6336"/>
          </w:tcPr>
          <w:p>
            <w:r/>
            <w:r>
              <w:rPr>
                <w:sz w:val="18"/>
              </w:rPr>
              <w:t>They appear as one group in the Fields pane instead of being scattered.</w:t>
            </w:r>
          </w:p>
        </w:tc>
      </w:tr>
      <w:tr>
        <w:tc>
          <w:tcPr>
            <w:tcW w:type="dxa" w:w="3456"/>
          </w:tcPr>
          <w:p>
            <w:r/>
            <w:r>
              <w:rPr>
                <w:sz w:val="18"/>
              </w:rPr>
              <w:t>VAR/RETURN in every multi-step measure</w:t>
            </w:r>
          </w:p>
        </w:tc>
        <w:tc>
          <w:tcPr>
            <w:tcW w:type="dxa" w:w="6336"/>
          </w:tcPr>
          <w:p>
            <w:r/>
            <w:r>
              <w:rPr>
                <w:sz w:val="18"/>
              </w:rPr>
              <w:t>Each sub-expression is evaluated once, in the context where it is declared.</w:t>
            </w:r>
          </w:p>
        </w:tc>
      </w:tr>
      <w:tr>
        <w:tc>
          <w:tcPr>
            <w:tcW w:type="dxa" w:w="3456"/>
          </w:tcPr>
          <w:p>
            <w:r/>
            <w:r>
              <w:rPr>
                <w:sz w:val="18"/>
              </w:rPr>
              <w:t>REMOVEFILTERS for the benchmark</w:t>
            </w:r>
          </w:p>
        </w:tc>
        <w:tc>
          <w:tcPr>
            <w:tcW w:type="dxa" w:w="6336"/>
          </w:tcPr>
          <w:p>
            <w:r/>
            <w:r>
              <w:rPr>
                <w:sz w:val="18"/>
              </w:rPr>
              <w:t>A benchmark must not move when the visual is sliced, or the comparison is meaningless.</w:t>
            </w:r>
          </w:p>
        </w:tc>
      </w:tr>
      <w:tr>
        <w:tc>
          <w:tcPr>
            <w:tcW w:type="dxa" w:w="3456"/>
          </w:tcPr>
          <w:p>
            <w:r/>
            <w:r>
              <w:rPr>
                <w:sz w:val="18"/>
              </w:rPr>
              <w:t>Colour driven by a measure, not set per series</w:t>
            </w:r>
          </w:p>
        </w:tc>
        <w:tc>
          <w:tcPr>
            <w:tcW w:type="dxa" w:w="6336"/>
          </w:tcPr>
          <w:p>
            <w:r/>
            <w:r>
              <w:rPr>
                <w:sz w:val="18"/>
              </w:rPr>
              <w:t>The rule lives in one place; changing the measure recolours the whole report.</w:t>
            </w:r>
          </w:p>
        </w:tc>
      </w:tr>
      <w:tr>
        <w:tc>
          <w:tcPr>
            <w:tcW w:type="dxa" w:w="3456"/>
          </w:tcPr>
          <w:p>
            <w:r/>
            <w:r>
              <w:rPr>
                <w:sz w:val="18"/>
              </w:rPr>
              <w:t>What-if table left disconnected</w:t>
            </w:r>
          </w:p>
        </w:tc>
        <w:tc>
          <w:tcPr>
            <w:tcW w:type="dxa" w:w="6336"/>
          </w:tcPr>
          <w:p>
            <w:r/>
            <w:r>
              <w:rPr>
                <w:sz w:val="18"/>
              </w:rPr>
              <w:t>A scenario input must filter nothing; it is read with SELECTEDVALUE.</w:t>
            </w:r>
          </w:p>
        </w:tc>
      </w:tr>
      <w:tr>
        <w:tc>
          <w:tcPr>
            <w:tcW w:type="dxa" w:w="3456"/>
          </w:tcPr>
          <w:p>
            <w:r/>
            <w:r>
              <w:rPr>
                <w:sz w:val="18"/>
              </w:rPr>
              <w:t>Sort-by columns for the bands</w:t>
            </w:r>
          </w:p>
        </w:tc>
        <w:tc>
          <w:tcPr>
            <w:tcW w:type="dxa" w:w="6336"/>
          </w:tcPr>
          <w:p>
            <w:r/>
            <w:r>
              <w:rPr>
                <w:sz w:val="18"/>
              </w:rPr>
              <w:t>Without them the bands would sort alphabetically and the curves would be meaningless.</w:t>
            </w:r>
          </w:p>
        </w:tc>
      </w:tr>
      <w:tr>
        <w:tc>
          <w:tcPr>
            <w:tcW w:type="dxa" w:w="3456"/>
          </w:tcPr>
          <w:p>
            <w:r/>
            <w:r>
              <w:rPr>
                <w:sz w:val="18"/>
              </w:rPr>
              <w:t>Chrome painted into the page background</w:t>
            </w:r>
          </w:p>
        </w:tc>
        <w:tc>
          <w:tcPr>
            <w:tcW w:type="dxa" w:w="6336"/>
          </w:tcPr>
          <w:p>
            <w:r/>
            <w:r>
              <w:rPr>
                <w:sz w:val="18"/>
              </w:rPr>
              <w:t>The rail, card frames and headers cost no visuals, which keeps the report light.</w:t>
            </w:r>
          </w:p>
        </w:tc>
      </w:tr>
    </w:tbl>
    <w:p>
      <w:pPr>
        <w:spacing w:after="80"/>
      </w:pPr>
    </w:p>
    <w:p>
      <w:pPr>
        <w:spacing w:after="120"/>
      </w:pPr>
      <w:r>
        <w:rPr>
          <w:b w:val="0"/>
          <w:i/>
          <w:sz w:val="20"/>
        </w:rPr>
        <w:t>Stated assumption: replacement cost is six months of the leaver's salary. It is the only number in the file that does not come from the data, and it is used in exactly two places — Estimated Replacement Cost and Cost Saved (Scenario). Replace it there and every figure that depends on it updates.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2B5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2B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D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