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80"/>
        <w:jc w:val="center"/>
        <w:rPr/>
      </w:pPr>
      <w:r>
        <w:rPr>
          <w:rFonts w:eastAsia="Arial" w:cs="Arial"/>
          <w:b/>
          <w:bCs/>
          <w:sz w:val="32"/>
          <w:szCs w:val="32"/>
        </w:rPr>
        <w:t>AI AGENT DEVELOPMENT AGREEMENT</w:t>
      </w:r>
    </w:p>
    <w:p>
      <w:pPr>
        <w:pStyle w:val="Normal"/>
        <w:spacing w:before="0" w:after="400"/>
        <w:jc w:val="center"/>
        <w:rPr/>
      </w:pPr>
      <w:r>
        <w:rPr>
          <w:rFonts w:eastAsia="Arial" w:cs="Arial"/>
          <w:i/>
          <w:iCs/>
          <w:color w:val="666666"/>
          <w:sz w:val="22"/>
          <w:szCs w:val="22"/>
        </w:rPr>
        <w:t>Underdog AI Sales Coach Project</w:t>
      </w:r>
    </w:p>
    <w:p>
      <w:pPr>
        <w:pStyle w:val="Normal"/>
        <w:spacing w:before="0" w:after="200"/>
        <w:rPr/>
      </w:pPr>
      <w:r>
        <w:rPr>
          <w:rFonts w:eastAsia="Arial" w:cs="Arial"/>
          <w:sz w:val="22"/>
          <w:szCs w:val="22"/>
        </w:rPr>
        <w:t xml:space="preserve">This Agreement is entered into as of </w:t>
      </w:r>
      <w:r>
        <w:rPr>
          <w:rFonts w:eastAsia="Arial" w:cs="Arial"/>
          <w:b/>
          <w:bCs/>
          <w:sz w:val="22"/>
          <w:szCs w:val="22"/>
        </w:rPr>
        <w:t>12 January 2026</w:t>
      </w:r>
      <w:r>
        <w:rPr>
          <w:rFonts w:eastAsia="Arial" w:cs="Arial"/>
          <w:sz w:val="22"/>
          <w:szCs w:val="22"/>
        </w:rPr>
        <w:t xml:space="preserve"> between:</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60"/>
              <w:rPr/>
            </w:pPr>
            <w:r>
              <w:rPr>
                <w:rFonts w:eastAsia="Arial" w:cs="Arial"/>
                <w:b/>
                <w:bCs/>
                <w:color w:val="666666"/>
                <w:sz w:val="18"/>
                <w:szCs w:val="18"/>
              </w:rPr>
              <w:t>SERVICE PROVIDER</w:t>
            </w:r>
          </w:p>
          <w:p>
            <w:pPr>
              <w:pStyle w:val="Normal"/>
              <w:rPr/>
            </w:pPr>
            <w:r>
              <w:rPr>
                <w:rFonts w:eastAsia="Arial" w:cs="Arial"/>
                <w:b/>
                <w:bCs/>
                <w:sz w:val="22"/>
                <w:szCs w:val="22"/>
              </w:rPr>
              <w:t>Qualio Solutions LTD</w:t>
            </w:r>
          </w:p>
          <w:p>
            <w:pPr>
              <w:pStyle w:val="Normal"/>
              <w:spacing w:before="60" w:after="0"/>
              <w:rPr>
                <w:rFonts w:ascii="Arial" w:hAnsi="Arial" w:eastAsia="Arial" w:cs="Arial"/>
                <w:color w:val="555555"/>
                <w:sz w:val="20"/>
                <w:szCs w:val="20"/>
              </w:rPr>
            </w:pPr>
            <w:r>
              <w:rPr>
                <w:rFonts w:eastAsia="Arial" w:cs="Arial"/>
                <w:color w:val="555555"/>
                <w:sz w:val="20"/>
                <w:szCs w:val="20"/>
              </w:rPr>
              <w:t>Ledras 145-First Floor, Nicosia 1011, Cyprus</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60"/>
              <w:rPr/>
            </w:pPr>
            <w:r>
              <w:rPr>
                <w:rFonts w:eastAsia="Arial" w:cs="Arial"/>
                <w:b/>
                <w:bCs/>
                <w:color w:val="666666"/>
                <w:sz w:val="18"/>
                <w:szCs w:val="18"/>
              </w:rPr>
              <w:t>CLIENT</w:t>
            </w:r>
          </w:p>
          <w:p>
            <w:pPr>
              <w:pStyle w:val="Normal"/>
              <w:rPr/>
            </w:pPr>
            <w:r>
              <w:rPr>
                <w:rFonts w:eastAsia="Arial" w:cs="Arial"/>
                <w:b/>
                <w:bCs/>
                <w:sz w:val="22"/>
                <w:szCs w:val="22"/>
              </w:rPr>
              <w:t>GSC Underdog Sales LTD</w:t>
            </w:r>
          </w:p>
          <w:p>
            <w:pPr>
              <w:pStyle w:val="Normal"/>
              <w:spacing w:before="60" w:after="0"/>
              <w:rPr/>
            </w:pPr>
            <w:r>
              <w:rPr>
                <w:rFonts w:eastAsia="Arial" w:cs="Arial"/>
                <w:color w:val="555555"/>
                <w:sz w:val="20"/>
                <w:szCs w:val="20"/>
              </w:rPr>
              <w:t>Onisiforou Center, Floor 2, Agios Theodoros 8011, Paphos, Cyprus</w:t>
            </w:r>
          </w:p>
        </w:tc>
      </w:tr>
    </w:tbl>
    <w:p>
      <w:pPr>
        <w:pStyle w:val="Normal"/>
        <w:pBdr>
          <w:bottom w:val="single" w:sz="6" w:space="4" w:color="00A4AC"/>
        </w:pBdr>
        <w:spacing w:before="360" w:after="200"/>
        <w:rPr/>
      </w:pPr>
      <w:r>
        <w:rPr>
          <w:rFonts w:eastAsia="Arial" w:cs="Arial"/>
          <w:b/>
          <w:bCs/>
          <w:color w:val="000000"/>
          <w:sz w:val="24"/>
          <w:szCs w:val="24"/>
        </w:rPr>
        <w:t>RECITALS</w:t>
      </w:r>
    </w:p>
    <w:p>
      <w:pPr>
        <w:pStyle w:val="Normal"/>
        <w:spacing w:before="120" w:after="120"/>
        <w:jc w:val="both"/>
        <w:rPr/>
      </w:pPr>
      <w:r>
        <w:rPr>
          <w:rFonts w:eastAsia="Arial" w:cs="Arial"/>
          <w:b/>
          <w:bCs/>
          <w:sz w:val="22"/>
          <w:szCs w:val="22"/>
        </w:rPr>
        <w:t xml:space="preserve">WHEREAS, </w:t>
      </w:r>
      <w:r>
        <w:rPr>
          <w:rFonts w:eastAsia="Arial" w:cs="Arial"/>
          <w:sz w:val="22"/>
          <w:szCs w:val="22"/>
        </w:rPr>
        <w:t>Qualio Solutions LTD ("Service Provider") specializes in the development and deployment of AI-powered solutions, including intelligent voice agents, conversational AI systems, and automated business workflows;</w:t>
      </w:r>
    </w:p>
    <w:p>
      <w:pPr>
        <w:pStyle w:val="Normal"/>
        <w:spacing w:before="120" w:after="120"/>
        <w:jc w:val="both"/>
        <w:rPr/>
      </w:pPr>
      <w:r>
        <w:rPr>
          <w:rFonts w:eastAsia="Arial" w:cs="Arial"/>
          <w:b/>
          <w:bCs/>
          <w:sz w:val="22"/>
          <w:szCs w:val="22"/>
        </w:rPr>
        <w:t xml:space="preserve">WHEREAS, </w:t>
      </w:r>
      <w:r>
        <w:rPr>
          <w:rFonts w:eastAsia="Arial" w:cs="Arial"/>
          <w:sz w:val="22"/>
          <w:szCs w:val="22"/>
        </w:rPr>
        <w:t>GSC Underdog Sales LTD ("Client") desires to engage Service Provider to create a custom AI Sales Coach Agent designed to enhance sales team performance through role-play practice, call analysis, and objection handling coaching;</w:t>
      </w:r>
    </w:p>
    <w:p>
      <w:pPr>
        <w:pStyle w:val="Normal"/>
        <w:spacing w:before="120" w:after="120"/>
        <w:jc w:val="both"/>
        <w:rPr/>
      </w:pPr>
      <w:r>
        <w:rPr>
          <w:rFonts w:eastAsia="Arial" w:cs="Arial"/>
          <w:b/>
          <w:bCs/>
          <w:sz w:val="22"/>
          <w:szCs w:val="22"/>
        </w:rPr>
        <w:t xml:space="preserve">NOW, THEREFORE, </w:t>
      </w:r>
      <w:r>
        <w:rPr>
          <w:rFonts w:eastAsia="Arial" w:cs="Arial"/>
          <w:sz w:val="22"/>
          <w:szCs w:val="22"/>
        </w:rPr>
        <w:t>in consideration of the mutual covenants and agreements hereinafter set forth, the parties agree as follows:</w:t>
      </w:r>
    </w:p>
    <w:p>
      <w:pPr>
        <w:pStyle w:val="Normal"/>
        <w:pBdr>
          <w:bottom w:val="single" w:sz="6" w:space="4" w:color="00A4AC"/>
        </w:pBdr>
        <w:spacing w:before="360" w:after="200"/>
        <w:rPr/>
      </w:pPr>
      <w:r>
        <w:rPr>
          <w:rFonts w:eastAsia="Arial" w:cs="Arial"/>
          <w:b/>
          <w:bCs/>
          <w:color w:val="000000"/>
          <w:sz w:val="24"/>
          <w:szCs w:val="24"/>
        </w:rPr>
        <w:t>ARTICLE 1: DEFINITIONS</w:t>
      </w:r>
    </w:p>
    <w:p>
      <w:pPr>
        <w:pStyle w:val="Normal"/>
        <w:spacing w:before="120" w:after="120"/>
        <w:jc w:val="both"/>
        <w:rPr/>
      </w:pPr>
      <w:r>
        <w:rPr>
          <w:rFonts w:eastAsia="Arial" w:cs="Arial"/>
          <w:sz w:val="22"/>
          <w:szCs w:val="22"/>
        </w:rPr>
        <w:t>1.1 "AI Agent" or "Underdog AI Sales Coach" means the artificial intelligence-powered conversational system developed under this Agreement, capable of automated voice interactions, sales coaching, role-play practice, and call analysis.</w:t>
      </w:r>
    </w:p>
    <w:p>
      <w:pPr>
        <w:pStyle w:val="Normal"/>
        <w:spacing w:before="120" w:after="120"/>
        <w:jc w:val="both"/>
        <w:rPr/>
      </w:pPr>
      <w:r>
        <w:rPr>
          <w:rFonts w:eastAsia="Arial" w:cs="Arial"/>
          <w:sz w:val="22"/>
          <w:szCs w:val="22"/>
        </w:rPr>
        <w:t>1.2 "Deliverables" means all work product, code, documentation, configurations, and materials created by Service Provider in performance of this Agreement.</w:t>
      </w:r>
    </w:p>
    <w:p>
      <w:pPr>
        <w:pStyle w:val="Normal"/>
        <w:spacing w:before="120" w:after="120"/>
        <w:jc w:val="both"/>
        <w:rPr/>
      </w:pPr>
      <w:r>
        <w:rPr>
          <w:rFonts w:eastAsia="Arial" w:cs="Arial"/>
          <w:sz w:val="22"/>
          <w:szCs w:val="22"/>
        </w:rPr>
        <w:t>1.3 "MVP" (Minimum Viable Product) means the initial functional version of the AI Agent meeting the core specifications outlined in Article 3.</w:t>
      </w:r>
    </w:p>
    <w:p>
      <w:pPr>
        <w:pStyle w:val="Normal"/>
        <w:spacing w:before="120" w:after="120"/>
        <w:jc w:val="both"/>
        <w:rPr/>
      </w:pPr>
      <w:r>
        <w:rPr>
          <w:rFonts w:eastAsia="Arial" w:cs="Arial"/>
          <w:sz w:val="22"/>
          <w:szCs w:val="22"/>
        </w:rPr>
        <w:t>1.4 "Third-Party Services" means external platforms, APIs, and services required for the AI Agent's operation, including but not limited to VAPI, ElevenLabs, OpenAI, and telecommunications providers.</w:t>
      </w:r>
    </w:p>
    <w:p>
      <w:pPr>
        <w:pStyle w:val="Normal"/>
        <w:spacing w:before="120" w:after="120"/>
        <w:jc w:val="both"/>
        <w:rPr/>
      </w:pPr>
      <w:r>
        <w:rPr>
          <w:rFonts w:eastAsia="Arial" w:cs="Arial"/>
          <w:sz w:val="22"/>
          <w:szCs w:val="22"/>
        </w:rPr>
        <w:t>1.5 "Work Product" means all deliverables, including AI designs, conversation flows, prompts, configurations, and source code.</w:t>
      </w:r>
    </w:p>
    <w:p>
      <w:pPr>
        <w:pStyle w:val="Normal"/>
        <w:spacing w:before="120" w:after="120"/>
        <w:jc w:val="both"/>
        <w:rPr/>
      </w:pPr>
      <w:r>
        <w:rPr>
          <w:rFonts w:eastAsia="Arial" w:cs="Arial"/>
          <w:sz w:val="22"/>
          <w:szCs w:val="22"/>
        </w:rPr>
        <w:t>1.6 "Client Background IP" means all intellectual property provided by the Client to the Service Provider, including without limitation sales methodologies, training curricula, objection handling frameworks, scripts, call recordings, customer data, and any other proprietary information.</w:t>
      </w:r>
    </w:p>
    <w:p>
      <w:pPr>
        <w:pStyle w:val="Normal"/>
        <w:spacing w:before="120" w:after="120"/>
        <w:jc w:val="both"/>
        <w:rPr/>
      </w:pPr>
      <w:r>
        <w:rPr>
          <w:rFonts w:eastAsia="Arial" w:cs="Arial"/>
          <w:sz w:val="22"/>
          <w:szCs w:val="22"/>
        </w:rPr>
        <w:t>1.7 "Specifications Document" means the functional and technical requirements to be developed collaboratively during Phase 1 and documented in writing, which shall govern the acceptance criteria for all Deliverables.</w:t>
      </w:r>
    </w:p>
    <w:p>
      <w:pPr>
        <w:pStyle w:val="Normal"/>
        <w:spacing w:before="120" w:after="120"/>
        <w:jc w:val="both"/>
        <w:rPr/>
      </w:pPr>
      <w:r>
        <w:rPr>
          <w:rFonts w:eastAsia="Arial" w:cs="Arial"/>
          <w:sz w:val="22"/>
          <w:szCs w:val="22"/>
        </w:rPr>
        <w:t>1.8 "Change Order" means a written document signed by both parties that modifies the scope, timeline, or fees under this Agreement.</w:t>
      </w:r>
    </w:p>
    <w:p>
      <w:pPr>
        <w:pStyle w:val="Normal"/>
        <w:pBdr>
          <w:bottom w:val="single" w:sz="6" w:space="4" w:color="00A4AC"/>
        </w:pBdr>
        <w:spacing w:before="360" w:after="200"/>
        <w:rPr/>
      </w:pPr>
      <w:r>
        <w:rPr>
          <w:rFonts w:eastAsia="Arial" w:cs="Arial"/>
          <w:b/>
          <w:bCs/>
          <w:color w:val="000000"/>
          <w:sz w:val="24"/>
          <w:szCs w:val="24"/>
        </w:rPr>
        <w:t>ARTICLE 2: PROJECT OVERVIEW</w:t>
      </w:r>
    </w:p>
    <w:p>
      <w:pPr>
        <w:pStyle w:val="ListParagraph"/>
        <w:numPr>
          <w:ilvl w:val="0"/>
          <w:numId w:val="38"/>
        </w:numPr>
        <w:spacing w:before="80" w:after="80"/>
        <w:rPr/>
      </w:pPr>
      <w:r>
        <w:rPr>
          <w:rFonts w:eastAsia="Arial" w:cs="Arial"/>
          <w:sz w:val="22"/>
          <w:szCs w:val="22"/>
        </w:rPr>
        <w:t>Project Name: Underdog AI Sales Coach</w:t>
      </w:r>
    </w:p>
    <w:p>
      <w:pPr>
        <w:pStyle w:val="ListParagraph"/>
        <w:numPr>
          <w:ilvl w:val="0"/>
          <w:numId w:val="19"/>
        </w:numPr>
        <w:spacing w:before="80" w:after="80"/>
        <w:rPr/>
      </w:pPr>
      <w:r>
        <w:rPr>
          <w:rFonts w:eastAsia="Arial" w:cs="Arial"/>
          <w:sz w:val="22"/>
          <w:szCs w:val="22"/>
        </w:rPr>
        <w:t>Project Type: AI Voice Agent / AI Chatbot / Call Analysis System</w:t>
      </w:r>
    </w:p>
    <w:p>
      <w:pPr>
        <w:pStyle w:val="ListParagraph"/>
        <w:numPr>
          <w:ilvl w:val="0"/>
          <w:numId w:val="19"/>
        </w:numPr>
        <w:spacing w:before="80" w:after="80"/>
        <w:rPr/>
      </w:pPr>
      <w:r>
        <w:rPr>
          <w:rFonts w:eastAsia="Arial" w:cs="Arial"/>
          <w:sz w:val="22"/>
          <w:szCs w:val="22"/>
        </w:rPr>
        <w:t>Primary Function: Role-play practice, call analysis, objection handling coaching, pitch improvement</w:t>
      </w:r>
    </w:p>
    <w:p>
      <w:pPr>
        <w:pStyle w:val="ListParagraph"/>
        <w:numPr>
          <w:ilvl w:val="0"/>
          <w:numId w:val="19"/>
        </w:numPr>
        <w:spacing w:before="80" w:after="80"/>
        <w:rPr/>
      </w:pPr>
      <w:r>
        <w:rPr>
          <w:rFonts w:eastAsia="Arial" w:cs="Arial"/>
          <w:sz w:val="22"/>
          <w:szCs w:val="22"/>
        </w:rPr>
        <w:t>Deployment: Standalone web application</w:t>
      </w:r>
    </w:p>
    <w:p>
      <w:pPr>
        <w:pStyle w:val="ListParagraph"/>
        <w:numPr>
          <w:ilvl w:val="0"/>
          <w:numId w:val="19"/>
        </w:numPr>
        <w:spacing w:before="80" w:after="80"/>
        <w:rPr/>
      </w:pPr>
      <w:r>
        <w:rPr>
          <w:rFonts w:eastAsia="Arial" w:cs="Arial"/>
          <w:sz w:val="22"/>
          <w:szCs w:val="22"/>
        </w:rPr>
        <w:t>AI Tone: Friendly, encouraging, coach-like</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3: SCOPE OF SERVICES</w:t>
      </w:r>
    </w:p>
    <w:p>
      <w:pPr>
        <w:pStyle w:val="Normal"/>
        <w:spacing w:before="240" w:after="120"/>
        <w:rPr/>
      </w:pPr>
      <w:r>
        <w:rPr>
          <w:rFonts w:eastAsia="Arial" w:cs="Arial"/>
          <w:b/>
          <w:bCs/>
          <w:sz w:val="22"/>
          <w:szCs w:val="22"/>
        </w:rPr>
        <w:t>3.1 Phase 1 - Discovery &amp; Architecture</w:t>
      </w:r>
    </w:p>
    <w:p>
      <w:pPr>
        <w:pStyle w:val="ListParagraph"/>
        <w:numPr>
          <w:ilvl w:val="0"/>
          <w:numId w:val="39"/>
        </w:numPr>
        <w:spacing w:before="80" w:after="80"/>
        <w:rPr/>
      </w:pPr>
      <w:r>
        <w:rPr>
          <w:rFonts w:eastAsia="Arial" w:cs="Arial"/>
          <w:sz w:val="22"/>
          <w:szCs w:val="22"/>
        </w:rPr>
        <w:t>Requirements gathering and use case documentation</w:t>
      </w:r>
    </w:p>
    <w:p>
      <w:pPr>
        <w:pStyle w:val="ListParagraph"/>
        <w:numPr>
          <w:ilvl w:val="0"/>
          <w:numId w:val="20"/>
        </w:numPr>
        <w:spacing w:before="80" w:after="80"/>
        <w:rPr/>
      </w:pPr>
      <w:r>
        <w:rPr>
          <w:rFonts w:eastAsia="Arial" w:cs="Arial"/>
          <w:sz w:val="22"/>
          <w:szCs w:val="22"/>
        </w:rPr>
        <w:t>Analysis of Client's existing cold calling curriculum (12 modules)</w:t>
      </w:r>
    </w:p>
    <w:p>
      <w:pPr>
        <w:pStyle w:val="ListParagraph"/>
        <w:numPr>
          <w:ilvl w:val="0"/>
          <w:numId w:val="20"/>
        </w:numPr>
        <w:spacing w:before="80" w:after="80"/>
        <w:rPr/>
      </w:pPr>
      <w:r>
        <w:rPr>
          <w:rFonts w:eastAsia="Arial" w:cs="Arial"/>
          <w:sz w:val="22"/>
          <w:szCs w:val="22"/>
        </w:rPr>
        <w:t>Conversation flow design for role-play scenarios</w:t>
      </w:r>
    </w:p>
    <w:p>
      <w:pPr>
        <w:pStyle w:val="ListParagraph"/>
        <w:numPr>
          <w:ilvl w:val="0"/>
          <w:numId w:val="20"/>
        </w:numPr>
        <w:spacing w:before="80" w:after="80"/>
        <w:rPr/>
      </w:pPr>
      <w:r>
        <w:rPr>
          <w:rFonts w:eastAsia="Arial" w:cs="Arial"/>
          <w:sz w:val="22"/>
          <w:szCs w:val="22"/>
        </w:rPr>
        <w:t>Objection handling framework integration planning</w:t>
      </w:r>
    </w:p>
    <w:p>
      <w:pPr>
        <w:pStyle w:val="ListParagraph"/>
        <w:numPr>
          <w:ilvl w:val="0"/>
          <w:numId w:val="20"/>
        </w:numPr>
        <w:spacing w:before="80" w:after="80"/>
        <w:rPr/>
      </w:pPr>
      <w:r>
        <w:rPr>
          <w:rFonts w:eastAsia="Arial" w:cs="Arial"/>
          <w:sz w:val="22"/>
          <w:szCs w:val="22"/>
        </w:rPr>
        <w:t>Technology stack selection and architecture planning</w:t>
      </w:r>
    </w:p>
    <w:p>
      <w:pPr>
        <w:pStyle w:val="ListParagraph"/>
        <w:numPr>
          <w:ilvl w:val="0"/>
          <w:numId w:val="20"/>
        </w:numPr>
        <w:spacing w:before="80" w:after="80"/>
        <w:rPr/>
      </w:pPr>
      <w:r>
        <w:rPr>
          <w:rFonts w:eastAsia="Arial" w:cs="Arial"/>
          <w:sz w:val="22"/>
          <w:szCs w:val="22"/>
        </w:rPr>
        <w:t>Project timeline and milestone definition</w:t>
      </w:r>
    </w:p>
    <w:p>
      <w:pPr>
        <w:pStyle w:val="ListParagraph"/>
        <w:numPr>
          <w:ilvl w:val="0"/>
          <w:numId w:val="20"/>
        </w:numPr>
        <w:spacing w:before="80" w:after="80"/>
        <w:rPr/>
      </w:pPr>
      <w:r>
        <w:rPr>
          <w:rFonts w:eastAsia="Arial" w:cs="Arial"/>
          <w:sz w:val="22"/>
          <w:szCs w:val="22"/>
        </w:rPr>
        <w:t>Preparation of detailed Specifications Document</w:t>
      </w:r>
    </w:p>
    <w:p>
      <w:pPr>
        <w:pStyle w:val="Normal"/>
        <w:spacing w:before="240" w:after="120"/>
        <w:rPr/>
      </w:pPr>
      <w:r>
        <w:rPr>
          <w:rFonts w:eastAsia="Arial" w:cs="Arial"/>
          <w:b/>
          <w:bCs/>
          <w:sz w:val="22"/>
          <w:szCs w:val="22"/>
        </w:rPr>
        <w:t>3.2 Phase 2 - AI Agent Development</w:t>
      </w:r>
    </w:p>
    <w:p>
      <w:pPr>
        <w:pStyle w:val="ListParagraph"/>
        <w:numPr>
          <w:ilvl w:val="0"/>
          <w:numId w:val="40"/>
        </w:numPr>
        <w:spacing w:before="80" w:after="80"/>
        <w:rPr/>
      </w:pPr>
      <w:r>
        <w:rPr>
          <w:rFonts w:eastAsia="Arial" w:cs="Arial"/>
          <w:sz w:val="22"/>
          <w:szCs w:val="22"/>
        </w:rPr>
        <w:t>AI agent development and training on Client's proprietary methodologies</w:t>
      </w:r>
    </w:p>
    <w:p>
      <w:pPr>
        <w:pStyle w:val="ListParagraph"/>
        <w:numPr>
          <w:ilvl w:val="0"/>
          <w:numId w:val="21"/>
        </w:numPr>
        <w:spacing w:before="80" w:after="80"/>
        <w:rPr/>
      </w:pPr>
      <w:r>
        <w:rPr>
          <w:rFonts w:eastAsia="Arial" w:cs="Arial"/>
          <w:sz w:val="22"/>
          <w:szCs w:val="22"/>
        </w:rPr>
        <w:t>Voice synthesis (TTS) and recognition (STT) setup for role-play</w:t>
      </w:r>
    </w:p>
    <w:p>
      <w:pPr>
        <w:pStyle w:val="ListParagraph"/>
        <w:numPr>
          <w:ilvl w:val="0"/>
          <w:numId w:val="21"/>
        </w:numPr>
        <w:spacing w:before="80" w:after="80"/>
        <w:rPr/>
      </w:pPr>
      <w:r>
        <w:rPr>
          <w:rFonts w:eastAsia="Arial" w:cs="Arial"/>
          <w:sz w:val="22"/>
          <w:szCs w:val="22"/>
        </w:rPr>
        <w:t>Custom objection handling library based on Client's frameworks</w:t>
      </w:r>
    </w:p>
    <w:p>
      <w:pPr>
        <w:pStyle w:val="ListParagraph"/>
        <w:numPr>
          <w:ilvl w:val="0"/>
          <w:numId w:val="21"/>
        </w:numPr>
        <w:spacing w:before="80" w:after="80"/>
        <w:rPr/>
      </w:pPr>
      <w:r>
        <w:rPr>
          <w:rFonts w:eastAsia="Arial" w:cs="Arial"/>
          <w:sz w:val="22"/>
          <w:szCs w:val="22"/>
        </w:rPr>
        <w:t>Integration with Client's 12-module cold calling curriculum</w:t>
      </w:r>
    </w:p>
    <w:p>
      <w:pPr>
        <w:pStyle w:val="ListParagraph"/>
        <w:numPr>
          <w:ilvl w:val="0"/>
          <w:numId w:val="21"/>
        </w:numPr>
        <w:spacing w:before="80" w:after="80"/>
        <w:rPr/>
      </w:pPr>
      <w:r>
        <w:rPr>
          <w:rFonts w:eastAsia="Arial" w:cs="Arial"/>
          <w:sz w:val="22"/>
          <w:szCs w:val="22"/>
        </w:rPr>
        <w:t>Pitch analysis and improvement feedback system</w:t>
      </w:r>
    </w:p>
    <w:p>
      <w:pPr>
        <w:pStyle w:val="ListParagraph"/>
        <w:numPr>
          <w:ilvl w:val="0"/>
          <w:numId w:val="21"/>
        </w:numPr>
        <w:spacing w:before="80" w:after="80"/>
        <w:rPr/>
      </w:pPr>
      <w:r>
        <w:rPr>
          <w:rFonts w:eastAsia="Arial" w:cs="Arial"/>
          <w:sz w:val="22"/>
          <w:szCs w:val="22"/>
        </w:rPr>
        <w:t>Call recording upload and analysis feature</w:t>
      </w:r>
    </w:p>
    <w:p>
      <w:pPr>
        <w:pStyle w:val="Normal"/>
        <w:spacing w:before="240" w:after="120"/>
        <w:rPr/>
      </w:pPr>
      <w:r>
        <w:rPr>
          <w:rFonts w:eastAsia="Arial" w:cs="Arial"/>
          <w:b/>
          <w:bCs/>
          <w:sz w:val="22"/>
          <w:szCs w:val="22"/>
        </w:rPr>
        <w:t>3.3 Phase 3 - Testing &amp; Deployment</w:t>
      </w:r>
    </w:p>
    <w:p>
      <w:pPr>
        <w:pStyle w:val="ListParagraph"/>
        <w:numPr>
          <w:ilvl w:val="0"/>
          <w:numId w:val="41"/>
        </w:numPr>
        <w:spacing w:before="80" w:after="80"/>
        <w:rPr/>
      </w:pPr>
      <w:r>
        <w:rPr>
          <w:rFonts w:eastAsia="Arial" w:cs="Arial"/>
          <w:sz w:val="22"/>
          <w:szCs w:val="22"/>
        </w:rPr>
        <w:t>Comprehensive testing against Specifications</w:t>
      </w:r>
    </w:p>
    <w:p>
      <w:pPr>
        <w:pStyle w:val="ListParagraph"/>
        <w:numPr>
          <w:ilvl w:val="0"/>
          <w:numId w:val="22"/>
        </w:numPr>
        <w:spacing w:before="80" w:after="80"/>
        <w:rPr/>
      </w:pPr>
      <w:r>
        <w:rPr>
          <w:rFonts w:eastAsia="Arial" w:cs="Arial"/>
          <w:sz w:val="22"/>
          <w:szCs w:val="22"/>
        </w:rPr>
        <w:t>User acceptance testing with Client</w:t>
      </w:r>
    </w:p>
    <w:p>
      <w:pPr>
        <w:pStyle w:val="ListParagraph"/>
        <w:numPr>
          <w:ilvl w:val="0"/>
          <w:numId w:val="22"/>
        </w:numPr>
        <w:spacing w:before="80" w:after="80"/>
        <w:rPr/>
      </w:pPr>
      <w:r>
        <w:rPr>
          <w:rFonts w:eastAsia="Arial" w:cs="Arial"/>
          <w:sz w:val="22"/>
          <w:szCs w:val="22"/>
        </w:rPr>
        <w:t>Deployment to production environment</w:t>
      </w:r>
    </w:p>
    <w:p>
      <w:pPr>
        <w:pStyle w:val="ListParagraph"/>
        <w:numPr>
          <w:ilvl w:val="0"/>
          <w:numId w:val="22"/>
        </w:numPr>
        <w:spacing w:before="80" w:after="80"/>
        <w:rPr/>
      </w:pPr>
      <w:r>
        <w:rPr>
          <w:rFonts w:eastAsia="Arial" w:cs="Arial"/>
          <w:sz w:val="22"/>
          <w:szCs w:val="22"/>
        </w:rPr>
        <w:t>Monitoring and analytics dashboard setup</w:t>
      </w:r>
    </w:p>
    <w:p>
      <w:pPr>
        <w:pStyle w:val="Normal"/>
        <w:spacing w:before="240" w:after="120"/>
        <w:rPr/>
      </w:pPr>
      <w:r>
        <w:rPr>
          <w:rFonts w:eastAsia="Arial" w:cs="Arial"/>
          <w:b/>
          <w:bCs/>
          <w:sz w:val="22"/>
          <w:szCs w:val="22"/>
        </w:rPr>
        <w:t>3.4 Phase 4 - Training &amp; Handover</w:t>
      </w:r>
    </w:p>
    <w:p>
      <w:pPr>
        <w:pStyle w:val="ListParagraph"/>
        <w:numPr>
          <w:ilvl w:val="0"/>
          <w:numId w:val="42"/>
        </w:numPr>
        <w:spacing w:before="80" w:after="80"/>
        <w:rPr/>
      </w:pPr>
      <w:r>
        <w:rPr>
          <w:rFonts w:eastAsia="Arial" w:cs="Arial"/>
          <w:sz w:val="22"/>
          <w:szCs w:val="22"/>
        </w:rPr>
        <w:t>Staff/Admin training on AI management and monitoring</w:t>
      </w:r>
    </w:p>
    <w:p>
      <w:pPr>
        <w:pStyle w:val="ListParagraph"/>
        <w:numPr>
          <w:ilvl w:val="0"/>
          <w:numId w:val="23"/>
        </w:numPr>
        <w:spacing w:before="80" w:after="80"/>
        <w:rPr/>
      </w:pPr>
      <w:r>
        <w:rPr>
          <w:rFonts w:eastAsia="Arial" w:cs="Arial"/>
          <w:sz w:val="22"/>
          <w:szCs w:val="22"/>
        </w:rPr>
        <w:t>Technical documentation and user guide delivery</w:t>
      </w:r>
    </w:p>
    <w:p>
      <w:pPr>
        <w:pStyle w:val="ListParagraph"/>
        <w:numPr>
          <w:ilvl w:val="0"/>
          <w:numId w:val="23"/>
        </w:numPr>
        <w:spacing w:before="80" w:after="80"/>
        <w:rPr/>
      </w:pPr>
      <w:r>
        <w:rPr>
          <w:rFonts w:eastAsia="Arial" w:cs="Arial"/>
          <w:sz w:val="22"/>
          <w:szCs w:val="22"/>
        </w:rPr>
        <w:t>Knowledge transfer session</w:t>
      </w:r>
    </w:p>
    <w:p>
      <w:pPr>
        <w:pStyle w:val="ListParagraph"/>
        <w:numPr>
          <w:ilvl w:val="0"/>
          <w:numId w:val="23"/>
        </w:numPr>
        <w:spacing w:before="80" w:after="80"/>
        <w:rPr/>
      </w:pPr>
      <w:r>
        <w:rPr>
          <w:rFonts w:eastAsia="Arial" w:cs="Arial"/>
          <w:sz w:val="22"/>
          <w:szCs w:val="22"/>
        </w:rPr>
        <w:t>Source code and all Work Product delivery</w:t>
      </w:r>
    </w:p>
    <w:p>
      <w:pPr>
        <w:pStyle w:val="Normal"/>
        <w:pBdr>
          <w:bottom w:val="single" w:sz="6" w:space="4" w:color="00A4AC"/>
        </w:pBdr>
        <w:spacing w:before="360" w:after="200"/>
        <w:rPr/>
      </w:pPr>
      <w:r>
        <w:rPr>
          <w:rFonts w:eastAsia="Arial" w:cs="Arial"/>
          <w:b/>
          <w:bCs/>
          <w:color w:val="000000"/>
          <w:sz w:val="24"/>
          <w:szCs w:val="24"/>
        </w:rPr>
        <w:t>ARTICLE 4: PROJECT TIMELINE</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shd w:fill="F5F5F5" w:val="clear"/>
          </w:tcPr>
          <w:p>
            <w:pPr>
              <w:pStyle w:val="Normal"/>
              <w:rPr/>
            </w:pPr>
            <w:r>
              <w:rPr>
                <w:rFonts w:eastAsia="Arial" w:cs="Arial"/>
                <w:b/>
                <w:bCs/>
                <w:sz w:val="22"/>
                <w:szCs w:val="22"/>
              </w:rPr>
              <w:t>Milestone</w:t>
            </w:r>
          </w:p>
        </w:tc>
        <w:tc>
          <w:tcPr>
            <w:tcW w:w="4680" w:type="dxa"/>
            <w:tcBorders>
              <w:top w:val="single" w:sz="4" w:space="0" w:color="CCCCCC"/>
              <w:start w:val="single" w:sz="4" w:space="0" w:color="CCCCCC"/>
              <w:bottom w:val="single" w:sz="4" w:space="0" w:color="CCCCCC"/>
              <w:end w:val="single" w:sz="4" w:space="0" w:color="CCCCCC"/>
            </w:tcBorders>
            <w:shd w:fill="F5F5F5" w:val="clear"/>
          </w:tcPr>
          <w:p>
            <w:pPr>
              <w:pStyle w:val="Normal"/>
              <w:rPr/>
            </w:pPr>
            <w:r>
              <w:rPr>
                <w:rFonts w:eastAsia="Arial" w:cs="Arial"/>
                <w:b/>
                <w:bCs/>
                <w:sz w:val="22"/>
                <w:szCs w:val="22"/>
              </w:rPr>
              <w:t>Timeline</w:t>
            </w:r>
          </w:p>
        </w:tc>
      </w:tr>
      <w:tr>
        <w:trPr/>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Project Commencement</w:t>
            </w:r>
          </w:p>
        </w:tc>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Upon Agreement signing and deposit receipt</w:t>
            </w:r>
          </w:p>
        </w:tc>
      </w:tr>
      <w:tr>
        <w:trPr/>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Phase 1 Completion</w:t>
            </w:r>
          </w:p>
        </w:tc>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Within 2 weeks of commencement</w:t>
            </w:r>
          </w:p>
        </w:tc>
      </w:tr>
      <w:tr>
        <w:trPr/>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MVP Delivery</w:t>
            </w:r>
          </w:p>
        </w:tc>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Within 2 months of commencement</w:t>
            </w:r>
          </w:p>
        </w:tc>
      </w:tr>
      <w:tr>
        <w:trPr/>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Post-MVP Enhancements</w:t>
            </w:r>
          </w:p>
        </w:tc>
        <w:tc>
          <w:tcPr>
            <w:tcW w:w="468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Based on user feedback</w:t>
            </w:r>
          </w:p>
        </w:tc>
      </w:tr>
    </w:tbl>
    <w:p>
      <w:pPr>
        <w:pStyle w:val="Normal"/>
        <w:spacing w:before="240" w:after="120"/>
        <w:rPr/>
      </w:pPr>
      <w:r>
        <w:rPr>
          <w:rFonts w:eastAsia="Arial" w:cs="Arial"/>
          <w:b/>
          <w:bCs/>
          <w:sz w:val="22"/>
          <w:szCs w:val="22"/>
        </w:rPr>
        <w:t>4.2 Client Delay Protection</w:t>
      </w:r>
    </w:p>
    <w:p>
      <w:pPr>
        <w:pStyle w:val="Normal"/>
        <w:spacing w:before="120" w:after="120"/>
        <w:jc w:val="both"/>
        <w:rPr/>
      </w:pPr>
      <w:r>
        <w:rPr>
          <w:rFonts w:eastAsia="Arial" w:cs="Arial"/>
          <w:sz w:val="22"/>
          <w:szCs w:val="22"/>
        </w:rPr>
        <w:t>All timelines set forth in this Agreement are contingent upon the Client providing required materials, feedback, and approvals within agreed timeframes. Project timelines shall be extended day-for-day for any delays caused by:</w:t>
      </w:r>
    </w:p>
    <w:p>
      <w:pPr>
        <w:pStyle w:val="ListParagraph"/>
        <w:numPr>
          <w:ilvl w:val="0"/>
          <w:numId w:val="43"/>
        </w:numPr>
        <w:spacing w:before="80" w:after="80"/>
        <w:rPr/>
      </w:pPr>
      <w:r>
        <w:rPr>
          <w:rFonts w:eastAsia="Arial" w:cs="Arial"/>
          <w:sz w:val="22"/>
          <w:szCs w:val="22"/>
        </w:rPr>
        <w:t>Client's failure to provide required training materials, scripts, or access to curriculum content</w:t>
      </w:r>
    </w:p>
    <w:p>
      <w:pPr>
        <w:pStyle w:val="ListParagraph"/>
        <w:numPr>
          <w:ilvl w:val="0"/>
          <w:numId w:val="24"/>
        </w:numPr>
        <w:spacing w:before="80" w:after="80"/>
        <w:rPr/>
      </w:pPr>
      <w:r>
        <w:rPr>
          <w:rFonts w:eastAsia="Arial" w:cs="Arial"/>
          <w:sz w:val="22"/>
          <w:szCs w:val="22"/>
        </w:rPr>
        <w:t>Client's failure to respond to feedback requests within five (5) business days</w:t>
      </w:r>
    </w:p>
    <w:p>
      <w:pPr>
        <w:pStyle w:val="ListParagraph"/>
        <w:numPr>
          <w:ilvl w:val="0"/>
          <w:numId w:val="24"/>
        </w:numPr>
        <w:spacing w:before="80" w:after="80"/>
        <w:rPr/>
      </w:pPr>
      <w:r>
        <w:rPr>
          <w:rFonts w:eastAsia="Arial" w:cs="Arial"/>
          <w:sz w:val="22"/>
          <w:szCs w:val="22"/>
        </w:rPr>
        <w:t>Client's failure to designate or make available the project contact</w:t>
      </w:r>
    </w:p>
    <w:p>
      <w:pPr>
        <w:pStyle w:val="ListParagraph"/>
        <w:numPr>
          <w:ilvl w:val="0"/>
          <w:numId w:val="24"/>
        </w:numPr>
        <w:spacing w:before="80" w:after="80"/>
        <w:rPr/>
      </w:pPr>
      <w:r>
        <w:rPr>
          <w:rFonts w:eastAsia="Arial" w:cs="Arial"/>
          <w:sz w:val="22"/>
          <w:szCs w:val="22"/>
        </w:rPr>
        <w:t>Any other Client-caused delay</w:t>
      </w:r>
    </w:p>
    <w:p>
      <w:pPr>
        <w:pStyle w:val="Normal"/>
        <w:spacing w:before="120" w:after="120"/>
        <w:jc w:val="both"/>
        <w:rPr/>
      </w:pPr>
      <w:r>
        <w:rPr>
          <w:rFonts w:eastAsia="Arial" w:cs="Arial"/>
          <w:sz w:val="22"/>
          <w:szCs w:val="22"/>
        </w:rPr>
        <w:t>The Service Provider shall promptly notify the Client of any such delays and their anticipated impact on the project timeline.</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5: ACCEPTANCE TESTING</w:t>
      </w:r>
    </w:p>
    <w:p>
      <w:pPr>
        <w:pStyle w:val="Normal"/>
        <w:spacing w:before="120" w:after="120"/>
        <w:jc w:val="both"/>
        <w:rPr/>
      </w:pPr>
      <w:r>
        <w:rPr>
          <w:rFonts w:eastAsia="Arial" w:cs="Arial"/>
          <w:sz w:val="22"/>
          <w:szCs w:val="22"/>
        </w:rPr>
        <w:t>5.1 Following delivery of each phase, the Client shall have ten (10) business days to conduct acceptance testing against the agreed Specifications Document.</w:t>
      </w:r>
    </w:p>
    <w:p>
      <w:pPr>
        <w:pStyle w:val="Normal"/>
        <w:spacing w:before="120" w:after="120"/>
        <w:jc w:val="both"/>
        <w:rPr/>
      </w:pPr>
      <w:r>
        <w:rPr>
          <w:rFonts w:eastAsia="Arial" w:cs="Arial"/>
          <w:sz w:val="22"/>
          <w:szCs w:val="22"/>
        </w:rPr>
        <w:t>5.2 If the Deliverables do not conform to the Specifications, the Client shall provide written notice specifying the deficiencies in reasonable detail. The Service Provider shall have ten (10) business days to cure such deficiencies and re-deliver.</w:t>
      </w:r>
    </w:p>
    <w:p>
      <w:pPr>
        <w:pStyle w:val="Normal"/>
        <w:spacing w:before="120" w:after="120"/>
        <w:jc w:val="both"/>
        <w:rPr/>
      </w:pPr>
      <w:r>
        <w:rPr>
          <w:rFonts w:eastAsia="Arial" w:cs="Arial"/>
          <w:sz w:val="22"/>
          <w:szCs w:val="22"/>
        </w:rPr>
        <w:t>5.3 If deficiencies are not cured after two (2) cure cycles, the Client may, at its option: (a) accept the Deliverables with an equitable price reduction; (b) extend the cure period by mutual agreement; or (c) terminate this Agreement with respect to the non-conforming phase only.</w:t>
      </w:r>
    </w:p>
    <w:p>
      <w:pPr>
        <w:pStyle w:val="Normal"/>
        <w:spacing w:before="120" w:after="120"/>
        <w:jc w:val="both"/>
        <w:rPr/>
      </w:pPr>
      <w:r>
        <w:rPr>
          <w:rFonts w:eastAsia="Arial" w:cs="Arial"/>
          <w:sz w:val="22"/>
          <w:szCs w:val="22"/>
        </w:rPr>
        <w:t>5.4 Deliverables shall be deemed accepted if the Client does not provide written notice of rejection within the applicable acceptance testing period.</w:t>
      </w:r>
    </w:p>
    <w:p>
      <w:pPr>
        <w:pStyle w:val="Normal"/>
        <w:spacing w:before="120" w:after="120"/>
        <w:jc w:val="both"/>
        <w:rPr/>
      </w:pPr>
      <w:r>
        <w:rPr>
          <w:rFonts w:eastAsia="Arial" w:cs="Arial"/>
          <w:sz w:val="22"/>
          <w:szCs w:val="22"/>
        </w:rPr>
        <w:t>5.5 Acceptance of any Deliverable shall not relieve the Service Provider of its warranty obligations under this Agreement.</w:t>
      </w:r>
    </w:p>
    <w:p>
      <w:pPr>
        <w:pStyle w:val="Normal"/>
        <w:pBdr>
          <w:bottom w:val="single" w:sz="6" w:space="4" w:color="00A4AC"/>
        </w:pBdr>
        <w:spacing w:before="360" w:after="200"/>
        <w:rPr/>
      </w:pPr>
      <w:r>
        <w:rPr>
          <w:rFonts w:eastAsia="Arial" w:cs="Arial"/>
          <w:b/>
          <w:bCs/>
          <w:color w:val="000000"/>
          <w:sz w:val="24"/>
          <w:szCs w:val="24"/>
        </w:rPr>
        <w:t>ARTICLE 6: CHANGE CONTROL</w:t>
      </w:r>
    </w:p>
    <w:p>
      <w:pPr>
        <w:pStyle w:val="Normal"/>
        <w:spacing w:before="120" w:after="120"/>
        <w:jc w:val="both"/>
        <w:rPr/>
      </w:pPr>
      <w:r>
        <w:rPr>
          <w:rFonts w:eastAsia="Arial" w:cs="Arial"/>
          <w:sz w:val="22"/>
          <w:szCs w:val="22"/>
        </w:rPr>
        <w:t>6.1 Either party may request changes to the scope of work by submitting a written Change Request describing the proposed modification.</w:t>
      </w:r>
    </w:p>
    <w:p>
      <w:pPr>
        <w:pStyle w:val="Normal"/>
        <w:spacing w:before="120" w:after="120"/>
        <w:jc w:val="both"/>
        <w:rPr/>
      </w:pPr>
      <w:r>
        <w:rPr>
          <w:rFonts w:eastAsia="Arial" w:cs="Arial"/>
          <w:sz w:val="22"/>
          <w:szCs w:val="22"/>
        </w:rPr>
        <w:t>6.2 The Service Provider shall respond to Change Requests within five (5) business days with an assessment of the impact on timeline, cost, and Specifications.</w:t>
      </w:r>
    </w:p>
    <w:p>
      <w:pPr>
        <w:pStyle w:val="Normal"/>
        <w:spacing w:before="120" w:after="120"/>
        <w:jc w:val="both"/>
        <w:rPr/>
      </w:pPr>
      <w:r>
        <w:rPr>
          <w:rFonts w:eastAsia="Arial" w:cs="Arial"/>
          <w:sz w:val="22"/>
          <w:szCs w:val="22"/>
        </w:rPr>
        <w:t>6.3 No change shall be implemented until both parties have signed a written Change Order specifying the scope change, price adjustment, and timeline impact.</w:t>
      </w:r>
    </w:p>
    <w:p>
      <w:pPr>
        <w:pStyle w:val="Normal"/>
        <w:spacing w:before="120" w:after="120"/>
        <w:jc w:val="both"/>
        <w:rPr/>
      </w:pPr>
      <w:r>
        <w:rPr>
          <w:rFonts w:eastAsia="Arial" w:cs="Arial"/>
          <w:sz w:val="22"/>
          <w:szCs w:val="22"/>
        </w:rPr>
        <w:t>6.4 The Service Provider shall not unreasonably withhold agreement to minor clarifications that do not materially expand scope.</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7: PAYMENT TERMS</w:t>
      </w:r>
    </w:p>
    <w:p>
      <w:pPr>
        <w:pStyle w:val="Normal"/>
        <w:spacing w:before="240" w:after="120"/>
        <w:rPr/>
      </w:pPr>
      <w:r>
        <w:rPr>
          <w:rFonts w:eastAsia="Arial" w:cs="Arial"/>
          <w:b/>
          <w:bCs/>
          <w:sz w:val="22"/>
          <w:szCs w:val="22"/>
        </w:rPr>
        <w:t>7.1 Development Fee Structure</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4" w:space="0" w:color="CCCCCC"/>
              <w:start w:val="single" w:sz="4" w:space="0" w:color="CCCCCC"/>
              <w:bottom w:val="single" w:sz="4" w:space="0" w:color="CCCCCC"/>
              <w:end w:val="single" w:sz="4" w:space="0" w:color="CCCCCC"/>
            </w:tcBorders>
            <w:shd w:fill="F5F5F5" w:val="clear"/>
          </w:tcPr>
          <w:p>
            <w:pPr>
              <w:pStyle w:val="Normal"/>
              <w:rPr/>
            </w:pPr>
            <w:r>
              <w:rPr>
                <w:rFonts w:eastAsia="Arial" w:cs="Arial"/>
                <w:b/>
                <w:bCs/>
                <w:sz w:val="22"/>
                <w:szCs w:val="22"/>
              </w:rPr>
              <w:t>Payment</w:t>
            </w:r>
          </w:p>
        </w:tc>
        <w:tc>
          <w:tcPr>
            <w:tcW w:w="3120" w:type="dxa"/>
            <w:tcBorders>
              <w:top w:val="single" w:sz="4" w:space="0" w:color="CCCCCC"/>
              <w:start w:val="single" w:sz="4" w:space="0" w:color="CCCCCC"/>
              <w:bottom w:val="single" w:sz="4" w:space="0" w:color="CCCCCC"/>
              <w:end w:val="single" w:sz="4" w:space="0" w:color="CCCCCC"/>
            </w:tcBorders>
            <w:shd w:fill="F5F5F5" w:val="clear"/>
          </w:tcPr>
          <w:p>
            <w:pPr>
              <w:pStyle w:val="Normal"/>
              <w:rPr/>
            </w:pPr>
            <w:r>
              <w:rPr>
                <w:rFonts w:eastAsia="Arial" w:cs="Arial"/>
                <w:b/>
                <w:bCs/>
                <w:sz w:val="22"/>
                <w:szCs w:val="22"/>
              </w:rPr>
              <w:t>Amount</w:t>
            </w:r>
          </w:p>
        </w:tc>
        <w:tc>
          <w:tcPr>
            <w:tcW w:w="3120" w:type="dxa"/>
            <w:tcBorders>
              <w:top w:val="single" w:sz="4" w:space="0" w:color="CCCCCC"/>
              <w:start w:val="single" w:sz="4" w:space="0" w:color="CCCCCC"/>
              <w:bottom w:val="single" w:sz="4" w:space="0" w:color="CCCCCC"/>
              <w:end w:val="single" w:sz="4" w:space="0" w:color="CCCCCC"/>
            </w:tcBorders>
            <w:shd w:fill="F5F5F5" w:val="clear"/>
          </w:tcPr>
          <w:p>
            <w:pPr>
              <w:pStyle w:val="Normal"/>
              <w:rPr/>
            </w:pPr>
            <w:r>
              <w:rPr>
                <w:rFonts w:eastAsia="Arial" w:cs="Arial"/>
                <w:b/>
                <w:bCs/>
                <w:sz w:val="22"/>
                <w:szCs w:val="22"/>
              </w:rPr>
              <w:t>Due</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Deposit (42%)</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w:t>
            </w:r>
            <w:r>
              <w:rPr>
                <w:rFonts w:eastAsia="Arial" w:cs="Arial"/>
                <w:sz w:val="22"/>
                <w:szCs w:val="22"/>
              </w:rPr>
              <w:t>2,000 + VAT</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Upon agreement signing</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Final Payment (58%)</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w:t>
            </w:r>
            <w:r>
              <w:rPr>
                <w:rFonts w:eastAsia="Arial" w:cs="Arial"/>
                <w:sz w:val="22"/>
                <w:szCs w:val="22"/>
              </w:rPr>
              <w:t>2,800 + VAT</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22"/>
                <w:szCs w:val="22"/>
              </w:rPr>
              <w:t>Upon MVP delivery</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b/>
                <w:bCs/>
                <w:sz w:val="22"/>
                <w:szCs w:val="22"/>
              </w:rPr>
              <w:t>TOTAL</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b/>
                <w:bCs/>
                <w:sz w:val="22"/>
                <w:szCs w:val="22"/>
              </w:rPr>
              <w:t>€</w:t>
            </w:r>
            <w:r>
              <w:rPr>
                <w:rFonts w:eastAsia="Arial" w:cs="Arial"/>
                <w:b/>
                <w:bCs/>
                <w:sz w:val="22"/>
                <w:szCs w:val="22"/>
              </w:rPr>
              <w:t>4,800 + VAT</w:t>
            </w:r>
          </w:p>
        </w:tc>
        <w:tc>
          <w:tcPr>
            <w:tcW w:w="3120" w:type="dxa"/>
            <w:tcBorders>
              <w:top w:val="single" w:sz="4" w:space="0" w:color="CCCCCC"/>
              <w:start w:val="single" w:sz="4" w:space="0" w:color="CCCCCC"/>
              <w:bottom w:val="single" w:sz="4" w:space="0" w:color="CCCCCC"/>
              <w:end w:val="single" w:sz="4" w:space="0" w:color="CCCCCC"/>
            </w:tcBorders>
          </w:tcPr>
          <w:p>
            <w:pPr>
              <w:pStyle w:val="Normal"/>
              <w:rPr/>
            </w:pPr>
            <w:r>
              <w:rPr/>
            </w:r>
          </w:p>
        </w:tc>
      </w:tr>
    </w:tbl>
    <w:p>
      <w:pPr>
        <w:pStyle w:val="Normal"/>
        <w:spacing w:before="120" w:after="120"/>
        <w:jc w:val="both"/>
        <w:rPr/>
      </w:pPr>
      <w:r>
        <w:rPr>
          <w:rFonts w:eastAsia="Arial" w:cs="Arial"/>
          <w:sz w:val="22"/>
          <w:szCs w:val="22"/>
        </w:rPr>
        <w:t>The deposit covers: AI platform subscriptions and API setup, initial database hosting and configuration, required API licenses (OpenAI, Google Cloud, etc.), and development tools and integrations.</w:t>
      </w:r>
    </w:p>
    <w:p>
      <w:pPr>
        <w:pStyle w:val="Normal"/>
        <w:spacing w:before="120" w:after="120"/>
        <w:jc w:val="both"/>
        <w:rPr/>
      </w:pPr>
      <w:r>
        <w:rPr>
          <w:rFonts w:eastAsia="Arial" w:cs="Arial"/>
          <w:sz w:val="22"/>
          <w:szCs w:val="22"/>
        </w:rPr>
        <w:t>Payment Method: Bank transfer to Service Provider's designated account or through a payment link.</w:t>
      </w:r>
    </w:p>
    <w:p>
      <w:pPr>
        <w:pStyle w:val="Normal"/>
        <w:spacing w:before="240" w:after="120"/>
        <w:rPr/>
      </w:pPr>
      <w:r>
        <w:rPr>
          <w:rFonts w:eastAsia="Arial" w:cs="Arial"/>
          <w:b/>
          <w:bCs/>
          <w:sz w:val="22"/>
          <w:szCs w:val="22"/>
        </w:rPr>
        <w:t>7.2 Ongoing Costs (Client Responsibility Post-Launch)</w:t>
      </w:r>
    </w:p>
    <w:p>
      <w:pPr>
        <w:pStyle w:val="ListParagraph"/>
        <w:numPr>
          <w:ilvl w:val="0"/>
          <w:numId w:val="44"/>
        </w:numPr>
        <w:spacing w:before="80" w:after="80"/>
        <w:rPr/>
      </w:pPr>
      <w:r>
        <w:rPr>
          <w:rFonts w:eastAsia="Arial" w:cs="Arial"/>
          <w:sz w:val="22"/>
          <w:szCs w:val="22"/>
        </w:rPr>
        <w:t>Monthly Support Fee: €400 + VAT per month (includes 12-month warranty)</w:t>
      </w:r>
    </w:p>
    <w:p>
      <w:pPr>
        <w:pStyle w:val="ListParagraph"/>
        <w:numPr>
          <w:ilvl w:val="0"/>
          <w:numId w:val="25"/>
        </w:numPr>
        <w:spacing w:before="80" w:after="80"/>
        <w:rPr/>
      </w:pPr>
      <w:r>
        <w:rPr>
          <w:rFonts w:eastAsia="Arial" w:cs="Arial"/>
          <w:sz w:val="22"/>
          <w:szCs w:val="22"/>
        </w:rPr>
        <w:t>LLM API usage fees (OpenAI, Anthropic, Google Cloud, etc.)</w:t>
      </w:r>
    </w:p>
    <w:p>
      <w:pPr>
        <w:pStyle w:val="ListParagraph"/>
        <w:numPr>
          <w:ilvl w:val="0"/>
          <w:numId w:val="25"/>
        </w:numPr>
        <w:spacing w:before="80" w:after="80"/>
        <w:rPr/>
      </w:pPr>
      <w:r>
        <w:rPr>
          <w:rFonts w:eastAsia="Arial" w:cs="Arial"/>
          <w:sz w:val="22"/>
          <w:szCs w:val="22"/>
        </w:rPr>
        <w:t>Voice AI platform fees (VAPI, Retell, or equivalent)</w:t>
      </w:r>
    </w:p>
    <w:p>
      <w:pPr>
        <w:pStyle w:val="ListParagraph"/>
        <w:numPr>
          <w:ilvl w:val="0"/>
          <w:numId w:val="25"/>
        </w:numPr>
        <w:spacing w:before="80" w:after="80"/>
        <w:rPr/>
      </w:pPr>
      <w:r>
        <w:rPr>
          <w:rFonts w:eastAsia="Arial" w:cs="Arial"/>
          <w:sz w:val="22"/>
          <w:szCs w:val="22"/>
        </w:rPr>
        <w:t>Text-to-Speech service fees (ElevenLabs or equivalent)</w:t>
      </w:r>
    </w:p>
    <w:p>
      <w:pPr>
        <w:pStyle w:val="ListParagraph"/>
        <w:numPr>
          <w:ilvl w:val="0"/>
          <w:numId w:val="25"/>
        </w:numPr>
        <w:spacing w:before="80" w:after="80"/>
        <w:rPr/>
      </w:pPr>
      <w:r>
        <w:rPr>
          <w:rFonts w:eastAsia="Arial" w:cs="Arial"/>
          <w:sz w:val="22"/>
          <w:szCs w:val="22"/>
        </w:rPr>
        <w:t>Speech-to-Text service fees (Deepgram or equivalent)</w:t>
      </w:r>
    </w:p>
    <w:p>
      <w:pPr>
        <w:pStyle w:val="ListParagraph"/>
        <w:numPr>
          <w:ilvl w:val="0"/>
          <w:numId w:val="25"/>
        </w:numPr>
        <w:spacing w:before="80" w:after="80"/>
        <w:rPr/>
      </w:pPr>
      <w:r>
        <w:rPr>
          <w:rFonts w:eastAsia="Arial" w:cs="Arial"/>
          <w:sz w:val="22"/>
          <w:szCs w:val="22"/>
        </w:rPr>
        <w:t>Cloud hosting and database costs</w:t>
      </w:r>
    </w:p>
    <w:p>
      <w:pPr>
        <w:pStyle w:val="ListParagraph"/>
        <w:numPr>
          <w:ilvl w:val="0"/>
          <w:numId w:val="25"/>
        </w:numPr>
        <w:spacing w:before="80" w:after="80"/>
        <w:rPr/>
      </w:pPr>
      <w:r>
        <w:rPr>
          <w:rFonts w:eastAsia="Arial" w:cs="Arial"/>
          <w:sz w:val="22"/>
          <w:szCs w:val="22"/>
        </w:rPr>
        <w:t>Storage costs for call recordings</w:t>
      </w:r>
    </w:p>
    <w:p>
      <w:pPr>
        <w:pStyle w:val="ListParagraph"/>
        <w:numPr>
          <w:ilvl w:val="0"/>
          <w:numId w:val="25"/>
        </w:numPr>
        <w:spacing w:before="80" w:after="80"/>
        <w:rPr/>
      </w:pPr>
      <w:r>
        <w:rPr>
          <w:rFonts w:eastAsia="Arial" w:cs="Arial"/>
          <w:sz w:val="22"/>
          <w:szCs w:val="22"/>
        </w:rPr>
        <w:t>Any telephony or phone number costs (if applicable)</w:t>
      </w:r>
    </w:p>
    <w:p>
      <w:pPr>
        <w:pStyle w:val="Normal"/>
        <w:spacing w:before="120" w:after="120"/>
        <w:jc w:val="both"/>
        <w:rPr/>
      </w:pPr>
      <w:r>
        <w:rPr>
          <w:rFonts w:eastAsia="Arial" w:cs="Arial"/>
          <w:sz w:val="22"/>
          <w:szCs w:val="22"/>
        </w:rPr>
        <w:t>Estimated third-party costs: €150–500/month depending on usage.</w:t>
      </w:r>
    </w:p>
    <w:p>
      <w:pPr>
        <w:pStyle w:val="Normal"/>
        <w:spacing w:before="240" w:after="120"/>
        <w:rPr/>
      </w:pPr>
      <w:r>
        <w:rPr>
          <w:rFonts w:eastAsia="Arial" w:cs="Arial"/>
          <w:b/>
          <w:bCs/>
          <w:sz w:val="22"/>
          <w:szCs w:val="22"/>
        </w:rPr>
        <w:t>7.3 Revenue Share</w:t>
      </w:r>
    </w:p>
    <w:p>
      <w:pPr>
        <w:pStyle w:val="ListParagraph"/>
        <w:numPr>
          <w:ilvl w:val="0"/>
          <w:numId w:val="45"/>
        </w:numPr>
        <w:spacing w:before="80" w:after="80"/>
        <w:rPr/>
      </w:pPr>
      <w:r>
        <w:rPr>
          <w:rFonts w:eastAsia="Arial" w:cs="Arial"/>
          <w:sz w:val="22"/>
          <w:szCs w:val="22"/>
        </w:rPr>
        <w:t>Service Provider shall receive 10% of net revenue from the AI Sales Coach product</w:t>
      </w:r>
    </w:p>
    <w:p>
      <w:pPr>
        <w:pStyle w:val="ListParagraph"/>
        <w:numPr>
          <w:ilvl w:val="0"/>
          <w:numId w:val="26"/>
        </w:numPr>
        <w:spacing w:before="80" w:after="80"/>
        <w:rPr/>
      </w:pPr>
      <w:r>
        <w:rPr>
          <w:rFonts w:eastAsia="Arial" w:cs="Arial"/>
          <w:sz w:val="22"/>
          <w:szCs w:val="22"/>
        </w:rPr>
        <w:t>Net revenue = gross sales minus third-party technology costs (API fees, hosting, voice minutes)</w:t>
      </w:r>
    </w:p>
    <w:p>
      <w:pPr>
        <w:pStyle w:val="ListParagraph"/>
        <w:numPr>
          <w:ilvl w:val="0"/>
          <w:numId w:val="26"/>
        </w:numPr>
        <w:spacing w:before="80" w:after="80"/>
        <w:rPr/>
      </w:pPr>
      <w:r>
        <w:rPr>
          <w:rFonts w:eastAsia="Arial" w:cs="Arial"/>
          <w:sz w:val="22"/>
          <w:szCs w:val="22"/>
        </w:rPr>
        <w:t>Revenue share period: 12 months from the date of first commercial sale</w:t>
      </w:r>
    </w:p>
    <w:p>
      <w:pPr>
        <w:pStyle w:val="ListParagraph"/>
        <w:numPr>
          <w:ilvl w:val="0"/>
          <w:numId w:val="26"/>
        </w:numPr>
        <w:spacing w:before="80" w:after="80"/>
        <w:rPr/>
      </w:pPr>
      <w:r>
        <w:rPr>
          <w:rFonts w:eastAsia="Arial" w:cs="Arial"/>
          <w:sz w:val="22"/>
          <w:szCs w:val="22"/>
        </w:rPr>
        <w:t>Client shall provide monthly revenue reports within 10 days of each month end</w:t>
      </w:r>
    </w:p>
    <w:p>
      <w:pPr>
        <w:pStyle w:val="ListParagraph"/>
        <w:numPr>
          <w:ilvl w:val="0"/>
          <w:numId w:val="26"/>
        </w:numPr>
        <w:spacing w:before="80" w:after="80"/>
        <w:rPr/>
      </w:pPr>
      <w:r>
        <w:rPr>
          <w:rFonts w:eastAsia="Arial" w:cs="Arial"/>
          <w:sz w:val="22"/>
          <w:szCs w:val="22"/>
        </w:rPr>
        <w:t>Revenue share payments due within 14 days of report delivery</w:t>
      </w:r>
    </w:p>
    <w:p>
      <w:pPr>
        <w:pStyle w:val="Normal"/>
        <w:spacing w:before="240" w:after="120"/>
        <w:rPr/>
      </w:pPr>
      <w:r>
        <w:rPr>
          <w:rFonts w:eastAsia="Arial" w:cs="Arial"/>
          <w:b/>
          <w:bCs/>
          <w:sz w:val="22"/>
          <w:szCs w:val="22"/>
        </w:rPr>
        <w:t>7.4 Revenue Share Audit Rights</w:t>
      </w:r>
    </w:p>
    <w:p>
      <w:pPr>
        <w:pStyle w:val="Normal"/>
        <w:spacing w:before="120" w:after="120"/>
        <w:jc w:val="both"/>
        <w:rPr/>
      </w:pPr>
      <w:r>
        <w:rPr>
          <w:rFonts w:eastAsia="Arial" w:cs="Arial"/>
          <w:sz w:val="22"/>
          <w:szCs w:val="22"/>
        </w:rPr>
        <w:t>Upon reasonable written notice (not more than once per calendar year), the Service Provider may request an audit of the Client's revenue records related to the AI Sales Coach product to verify the accuracy of revenue share payments. Such audit shall be conducted during normal business hours at the Service Provider's expense, unless the audit reveals an underpayment of more than five percent (5%), in which case the Client shall bear the reasonable cost of the audit and promptly pay any shortfall plus interest.</w:t>
      </w:r>
    </w:p>
    <w:p>
      <w:pPr>
        <w:pStyle w:val="Normal"/>
        <w:spacing w:before="240" w:after="120"/>
        <w:rPr/>
      </w:pPr>
      <w:r>
        <w:rPr>
          <w:rFonts w:eastAsia="Arial" w:cs="Arial"/>
          <w:b/>
          <w:bCs/>
          <w:sz w:val="22"/>
          <w:szCs w:val="22"/>
        </w:rPr>
        <w:t>7.5 Late Payment</w:t>
      </w:r>
    </w:p>
    <w:p>
      <w:pPr>
        <w:pStyle w:val="Normal"/>
        <w:spacing w:before="120" w:after="120"/>
        <w:jc w:val="both"/>
        <w:rPr/>
      </w:pPr>
      <w:r>
        <w:rPr>
          <w:rFonts w:eastAsia="Arial" w:cs="Arial"/>
          <w:sz w:val="22"/>
          <w:szCs w:val="22"/>
        </w:rPr>
        <w:t>Payments not received within fourtee</w:t>
      </w:r>
      <w:r>
        <w:rPr>
          <w:rFonts w:eastAsia="Arial" w:cs="Arial"/>
          <w:sz w:val="22"/>
          <w:szCs w:val="22"/>
        </w:rPr>
        <w:t>n</w:t>
      </w:r>
      <w:r>
        <w:rPr>
          <w:rFonts w:eastAsia="Arial" w:cs="Arial"/>
          <w:sz w:val="22"/>
          <w:szCs w:val="22"/>
        </w:rPr>
        <w:t xml:space="preserve"> (14) days of the due date shall accrue interest at the rate of 1.5% per month or the maximum rate permitted by law, whichever is less.</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8: CLIENT RESPONSIBILITIES</w:t>
      </w:r>
    </w:p>
    <w:p>
      <w:pPr>
        <w:pStyle w:val="ListParagraph"/>
        <w:numPr>
          <w:ilvl w:val="0"/>
          <w:numId w:val="46"/>
        </w:numPr>
        <w:spacing w:before="80" w:after="80"/>
        <w:rPr/>
      </w:pPr>
      <w:r>
        <w:rPr>
          <w:rFonts w:eastAsia="Arial" w:cs="Arial"/>
          <w:sz w:val="22"/>
          <w:szCs w:val="22"/>
        </w:rPr>
        <w:t>Provide all training materials (scripts, objection responses, pitch frameworks)</w:t>
      </w:r>
    </w:p>
    <w:p>
      <w:pPr>
        <w:pStyle w:val="ListParagraph"/>
        <w:numPr>
          <w:ilvl w:val="0"/>
          <w:numId w:val="27"/>
        </w:numPr>
        <w:spacing w:before="80" w:after="80"/>
        <w:rPr/>
      </w:pPr>
      <w:r>
        <w:rPr>
          <w:rFonts w:eastAsia="Arial" w:cs="Arial"/>
          <w:sz w:val="22"/>
          <w:szCs w:val="22"/>
        </w:rPr>
        <w:t>Provide sample call recordings for AI training (if available)</w:t>
      </w:r>
    </w:p>
    <w:p>
      <w:pPr>
        <w:pStyle w:val="ListParagraph"/>
        <w:numPr>
          <w:ilvl w:val="0"/>
          <w:numId w:val="27"/>
        </w:numPr>
        <w:spacing w:before="80" w:after="80"/>
        <w:rPr/>
      </w:pPr>
      <w:r>
        <w:rPr>
          <w:rFonts w:eastAsia="Arial" w:cs="Arial"/>
          <w:sz w:val="22"/>
          <w:szCs w:val="22"/>
        </w:rPr>
        <w:t>Grant access to curriculum content for integration</w:t>
      </w:r>
    </w:p>
    <w:p>
      <w:pPr>
        <w:pStyle w:val="ListParagraph"/>
        <w:numPr>
          <w:ilvl w:val="0"/>
          <w:numId w:val="27"/>
        </w:numPr>
        <w:spacing w:before="80" w:after="80"/>
        <w:rPr/>
      </w:pPr>
      <w:r>
        <w:rPr>
          <w:rFonts w:eastAsia="Arial" w:cs="Arial"/>
          <w:sz w:val="22"/>
          <w:szCs w:val="22"/>
        </w:rPr>
        <w:t>Designate a project contact for timely feedback and approvals</w:t>
      </w:r>
    </w:p>
    <w:p>
      <w:pPr>
        <w:pStyle w:val="ListParagraph"/>
        <w:numPr>
          <w:ilvl w:val="0"/>
          <w:numId w:val="27"/>
        </w:numPr>
        <w:spacing w:before="80" w:after="80"/>
        <w:rPr/>
      </w:pPr>
      <w:r>
        <w:rPr>
          <w:rFonts w:eastAsia="Arial" w:cs="Arial"/>
          <w:sz w:val="22"/>
          <w:szCs w:val="22"/>
        </w:rPr>
        <w:t>Participate in testing and provide feedback within agreed timelines</w:t>
      </w:r>
    </w:p>
    <w:p>
      <w:pPr>
        <w:pStyle w:val="ListParagraph"/>
        <w:numPr>
          <w:ilvl w:val="0"/>
          <w:numId w:val="27"/>
        </w:numPr>
        <w:spacing w:before="80" w:after="80"/>
        <w:rPr/>
      </w:pPr>
      <w:r>
        <w:rPr>
          <w:rFonts w:eastAsia="Arial" w:cs="Arial"/>
          <w:sz w:val="22"/>
          <w:szCs w:val="22"/>
        </w:rPr>
        <w:t>Ensure content rights and accuracy for all provided materials</w:t>
      </w:r>
    </w:p>
    <w:p>
      <w:pPr>
        <w:pStyle w:val="Normal"/>
        <w:pBdr>
          <w:bottom w:val="single" w:sz="6" w:space="4" w:color="00A4AC"/>
        </w:pBdr>
        <w:spacing w:before="360" w:after="200"/>
        <w:rPr/>
      </w:pPr>
      <w:r>
        <w:rPr>
          <w:rFonts w:eastAsia="Arial" w:cs="Arial"/>
          <w:b/>
          <w:bCs/>
          <w:color w:val="000000"/>
          <w:sz w:val="24"/>
          <w:szCs w:val="24"/>
        </w:rPr>
        <w:t>ARTICLE 9: DELIVERABLES</w:t>
      </w:r>
    </w:p>
    <w:p>
      <w:pPr>
        <w:pStyle w:val="ListParagraph"/>
        <w:numPr>
          <w:ilvl w:val="0"/>
          <w:numId w:val="47"/>
        </w:numPr>
        <w:spacing w:before="80" w:after="80"/>
        <w:rPr/>
      </w:pPr>
      <w:r>
        <w:rPr>
          <w:rFonts w:eastAsia="Arial" w:cs="Arial"/>
          <w:sz w:val="22"/>
          <w:szCs w:val="22"/>
        </w:rPr>
        <w:t>Fully functional AI Sales Coach Agent with voice capabilities</w:t>
      </w:r>
    </w:p>
    <w:p>
      <w:pPr>
        <w:pStyle w:val="ListParagraph"/>
        <w:numPr>
          <w:ilvl w:val="0"/>
          <w:numId w:val="28"/>
        </w:numPr>
        <w:spacing w:before="80" w:after="80"/>
        <w:rPr/>
      </w:pPr>
      <w:r>
        <w:rPr>
          <w:rFonts w:eastAsia="Arial" w:cs="Arial"/>
          <w:sz w:val="22"/>
          <w:szCs w:val="22"/>
        </w:rPr>
        <w:t>Role-play feature for cold calling practice</w:t>
      </w:r>
    </w:p>
    <w:p>
      <w:pPr>
        <w:pStyle w:val="ListParagraph"/>
        <w:numPr>
          <w:ilvl w:val="0"/>
          <w:numId w:val="28"/>
        </w:numPr>
        <w:spacing w:before="80" w:after="80"/>
        <w:rPr/>
      </w:pPr>
      <w:r>
        <w:rPr>
          <w:rFonts w:eastAsia="Arial" w:cs="Arial"/>
          <w:sz w:val="22"/>
          <w:szCs w:val="22"/>
        </w:rPr>
        <w:t>Call analysis system for uploaded recordings</w:t>
      </w:r>
    </w:p>
    <w:p>
      <w:pPr>
        <w:pStyle w:val="ListParagraph"/>
        <w:numPr>
          <w:ilvl w:val="0"/>
          <w:numId w:val="28"/>
        </w:numPr>
        <w:spacing w:before="80" w:after="80"/>
        <w:rPr/>
      </w:pPr>
      <w:r>
        <w:rPr>
          <w:rFonts w:eastAsia="Arial" w:cs="Arial"/>
          <w:sz w:val="22"/>
          <w:szCs w:val="22"/>
        </w:rPr>
        <w:t>Custom objection handling library (based on Client's methodology)</w:t>
      </w:r>
    </w:p>
    <w:p>
      <w:pPr>
        <w:pStyle w:val="ListParagraph"/>
        <w:numPr>
          <w:ilvl w:val="0"/>
          <w:numId w:val="28"/>
        </w:numPr>
        <w:spacing w:before="80" w:after="80"/>
        <w:rPr/>
      </w:pPr>
      <w:r>
        <w:rPr>
          <w:rFonts w:eastAsia="Arial" w:cs="Arial"/>
          <w:sz w:val="22"/>
          <w:szCs w:val="22"/>
        </w:rPr>
        <w:t>Integration with Client's 12-module curriculum</w:t>
      </w:r>
    </w:p>
    <w:p>
      <w:pPr>
        <w:pStyle w:val="ListParagraph"/>
        <w:numPr>
          <w:ilvl w:val="0"/>
          <w:numId w:val="28"/>
        </w:numPr>
        <w:spacing w:before="80" w:after="80"/>
        <w:rPr/>
      </w:pPr>
      <w:r>
        <w:rPr>
          <w:rFonts w:eastAsia="Arial" w:cs="Arial"/>
          <w:sz w:val="22"/>
          <w:szCs w:val="22"/>
        </w:rPr>
        <w:t>Admin dashboard for monitoring and analytics</w:t>
      </w:r>
    </w:p>
    <w:p>
      <w:pPr>
        <w:pStyle w:val="ListParagraph"/>
        <w:numPr>
          <w:ilvl w:val="0"/>
          <w:numId w:val="28"/>
        </w:numPr>
        <w:spacing w:before="80" w:after="80"/>
        <w:rPr/>
      </w:pPr>
      <w:r>
        <w:rPr>
          <w:rFonts w:eastAsia="Arial" w:cs="Arial"/>
          <w:sz w:val="22"/>
          <w:szCs w:val="22"/>
        </w:rPr>
        <w:t>Complete source code with documentation</w:t>
      </w:r>
    </w:p>
    <w:p>
      <w:pPr>
        <w:pStyle w:val="ListParagraph"/>
        <w:numPr>
          <w:ilvl w:val="0"/>
          <w:numId w:val="28"/>
        </w:numPr>
        <w:spacing w:before="80" w:after="80"/>
        <w:rPr/>
      </w:pPr>
      <w:r>
        <w:rPr>
          <w:rFonts w:eastAsia="Arial" w:cs="Arial"/>
          <w:sz w:val="22"/>
          <w:szCs w:val="22"/>
        </w:rPr>
        <w:t>All trained AI model weights and configurations</w:t>
      </w:r>
    </w:p>
    <w:p>
      <w:pPr>
        <w:pStyle w:val="ListParagraph"/>
        <w:numPr>
          <w:ilvl w:val="0"/>
          <w:numId w:val="28"/>
        </w:numPr>
        <w:spacing w:before="80" w:after="80"/>
        <w:rPr/>
      </w:pPr>
      <w:r>
        <w:rPr>
          <w:rFonts w:eastAsia="Arial" w:cs="Arial"/>
          <w:sz w:val="22"/>
          <w:szCs w:val="22"/>
        </w:rPr>
        <w:t>All prompts and system prompts</w:t>
      </w:r>
    </w:p>
    <w:p>
      <w:pPr>
        <w:pStyle w:val="ListParagraph"/>
        <w:numPr>
          <w:ilvl w:val="0"/>
          <w:numId w:val="28"/>
        </w:numPr>
        <w:spacing w:before="80" w:after="80"/>
        <w:rPr/>
      </w:pPr>
      <w:r>
        <w:rPr>
          <w:rFonts w:eastAsia="Arial" w:cs="Arial"/>
          <w:sz w:val="22"/>
          <w:szCs w:val="22"/>
        </w:rPr>
        <w:t>Technical documentation and user guide</w:t>
      </w:r>
    </w:p>
    <w:p>
      <w:pPr>
        <w:pStyle w:val="ListParagraph"/>
        <w:numPr>
          <w:ilvl w:val="0"/>
          <w:numId w:val="28"/>
        </w:numPr>
        <w:spacing w:before="80" w:after="80"/>
        <w:rPr/>
      </w:pPr>
      <w:r>
        <w:rPr>
          <w:rFonts w:eastAsia="Arial" w:cs="Arial"/>
          <w:sz w:val="22"/>
          <w:szCs w:val="22"/>
        </w:rPr>
        <w:t>Training session for the Client team</w:t>
      </w:r>
    </w:p>
    <w:p>
      <w:pPr>
        <w:pStyle w:val="Normal"/>
        <w:pBdr>
          <w:bottom w:val="single" w:sz="6" w:space="4" w:color="00A4AC"/>
        </w:pBdr>
        <w:spacing w:before="360" w:after="200"/>
        <w:rPr/>
      </w:pPr>
      <w:r>
        <w:rPr>
          <w:rFonts w:eastAsia="Arial" w:cs="Arial"/>
          <w:b/>
          <w:bCs/>
          <w:color w:val="000000"/>
          <w:sz w:val="24"/>
          <w:szCs w:val="24"/>
        </w:rPr>
        <w:t>ARTICLE 10: INTELLECTUAL PROPERTY</w:t>
      </w:r>
    </w:p>
    <w:p>
      <w:pPr>
        <w:pStyle w:val="Normal"/>
        <w:spacing w:before="240" w:after="120"/>
        <w:rPr/>
      </w:pPr>
      <w:r>
        <w:rPr>
          <w:rFonts w:eastAsia="Arial" w:cs="Arial"/>
          <w:b/>
          <w:bCs/>
          <w:sz w:val="22"/>
          <w:szCs w:val="22"/>
        </w:rPr>
        <w:t>10.1 Client Ownership</w:t>
      </w:r>
    </w:p>
    <w:p>
      <w:pPr>
        <w:pStyle w:val="Normal"/>
        <w:spacing w:before="120" w:after="120"/>
        <w:jc w:val="both"/>
        <w:rPr/>
      </w:pPr>
      <w:r>
        <w:rPr>
          <w:rFonts w:eastAsia="Arial" w:cs="Arial"/>
          <w:sz w:val="22"/>
          <w:szCs w:val="22"/>
        </w:rPr>
        <w:t>Upon full payment, the Client owns all rights to:</w:t>
      </w:r>
    </w:p>
    <w:p>
      <w:pPr>
        <w:pStyle w:val="ListParagraph"/>
        <w:numPr>
          <w:ilvl w:val="0"/>
          <w:numId w:val="48"/>
        </w:numPr>
        <w:spacing w:before="80" w:after="80"/>
        <w:rPr/>
      </w:pPr>
      <w:r>
        <w:rPr>
          <w:rFonts w:eastAsia="Arial" w:cs="Arial"/>
          <w:sz w:val="22"/>
          <w:szCs w:val="22"/>
        </w:rPr>
        <w:t>All AI assistant designs and conversation flows created for this project</w:t>
      </w:r>
    </w:p>
    <w:p>
      <w:pPr>
        <w:pStyle w:val="ListParagraph"/>
        <w:numPr>
          <w:ilvl w:val="0"/>
          <w:numId w:val="29"/>
        </w:numPr>
        <w:spacing w:before="80" w:after="80"/>
        <w:rPr/>
      </w:pPr>
      <w:r>
        <w:rPr>
          <w:rFonts w:eastAsia="Arial" w:cs="Arial"/>
          <w:sz w:val="22"/>
          <w:szCs w:val="22"/>
        </w:rPr>
        <w:t>Custom prompts, intents, and response templates</w:t>
      </w:r>
    </w:p>
    <w:p>
      <w:pPr>
        <w:pStyle w:val="ListParagraph"/>
        <w:numPr>
          <w:ilvl w:val="0"/>
          <w:numId w:val="29"/>
        </w:numPr>
        <w:spacing w:before="80" w:after="80"/>
        <w:rPr/>
      </w:pPr>
      <w:r>
        <w:rPr>
          <w:rFonts w:eastAsia="Arial" w:cs="Arial"/>
          <w:sz w:val="22"/>
          <w:szCs w:val="22"/>
        </w:rPr>
        <w:t>Knowledge base schemas and configurations</w:t>
      </w:r>
    </w:p>
    <w:p>
      <w:pPr>
        <w:pStyle w:val="ListParagraph"/>
        <w:numPr>
          <w:ilvl w:val="0"/>
          <w:numId w:val="29"/>
        </w:numPr>
        <w:spacing w:before="80" w:after="80"/>
        <w:rPr/>
      </w:pPr>
      <w:r>
        <w:rPr>
          <w:rFonts w:eastAsia="Arial" w:cs="Arial"/>
          <w:sz w:val="22"/>
          <w:szCs w:val="22"/>
        </w:rPr>
        <w:t>Integration code and API connectors</w:t>
      </w:r>
    </w:p>
    <w:p>
      <w:pPr>
        <w:pStyle w:val="ListParagraph"/>
        <w:numPr>
          <w:ilvl w:val="0"/>
          <w:numId w:val="29"/>
        </w:numPr>
        <w:spacing w:before="80" w:after="80"/>
        <w:rPr/>
      </w:pPr>
      <w:r>
        <w:rPr>
          <w:rFonts w:eastAsia="Arial" w:cs="Arial"/>
          <w:sz w:val="22"/>
          <w:szCs w:val="22"/>
        </w:rPr>
        <w:t>Analytics dashboard and reporting systems</w:t>
      </w:r>
    </w:p>
    <w:p>
      <w:pPr>
        <w:pStyle w:val="ListParagraph"/>
        <w:numPr>
          <w:ilvl w:val="0"/>
          <w:numId w:val="29"/>
        </w:numPr>
        <w:spacing w:before="80" w:after="80"/>
        <w:rPr/>
      </w:pPr>
      <w:r>
        <w:rPr>
          <w:rFonts w:eastAsia="Arial" w:cs="Arial"/>
          <w:sz w:val="22"/>
          <w:szCs w:val="22"/>
        </w:rPr>
        <w:t>Voice profiles and persona configurations</w:t>
      </w:r>
    </w:p>
    <w:p>
      <w:pPr>
        <w:pStyle w:val="ListParagraph"/>
        <w:numPr>
          <w:ilvl w:val="0"/>
          <w:numId w:val="29"/>
        </w:numPr>
        <w:spacing w:before="80" w:after="80"/>
        <w:rPr/>
      </w:pPr>
      <w:r>
        <w:rPr>
          <w:rFonts w:eastAsia="Arial" w:cs="Arial"/>
          <w:sz w:val="22"/>
          <w:szCs w:val="22"/>
        </w:rPr>
        <w:t>Fine-tuned models trained on Client data</w:t>
      </w:r>
    </w:p>
    <w:p>
      <w:pPr>
        <w:pStyle w:val="Normal"/>
        <w:spacing w:before="160" w:after="160"/>
        <w:jc w:val="both"/>
        <w:rPr/>
      </w:pPr>
      <w:r>
        <w:rPr>
          <w:rFonts w:eastAsia="Arial" w:cs="Arial"/>
          <w:b/>
          <w:bCs/>
          <w:sz w:val="22"/>
          <w:szCs w:val="22"/>
        </w:rPr>
        <w:t>IP transfer is contingent upon full payment. No payment = no ownership transfer.</w:t>
      </w:r>
    </w:p>
    <w:p>
      <w:pPr>
        <w:pStyle w:val="Normal"/>
        <w:spacing w:before="240" w:after="120"/>
        <w:rPr/>
      </w:pPr>
      <w:r>
        <w:rPr>
          <w:rFonts w:eastAsia="Arial" w:cs="Arial"/>
          <w:b/>
          <w:bCs/>
          <w:sz w:val="22"/>
          <w:szCs w:val="22"/>
        </w:rPr>
        <w:t>10.2 Service Provider Retained Rights</w:t>
      </w:r>
    </w:p>
    <w:p>
      <w:pPr>
        <w:pStyle w:val="Normal"/>
        <w:spacing w:before="120" w:after="120"/>
        <w:jc w:val="both"/>
        <w:rPr/>
      </w:pPr>
      <w:r>
        <w:rPr>
          <w:rFonts w:eastAsia="Arial" w:cs="Arial"/>
          <w:sz w:val="22"/>
          <w:szCs w:val="22"/>
        </w:rPr>
        <w:t>Service Provider retains ownership of Pre-existing IP (existing frameworks, tools, libraries, reusable components) and grants Client a perpetual, royalty-free license to use such IP within the Work Product.</w:t>
      </w:r>
    </w:p>
    <w:p>
      <w:pPr>
        <w:pStyle w:val="Normal"/>
        <w:spacing w:before="120" w:after="120"/>
        <w:jc w:val="both"/>
        <w:rPr/>
      </w:pPr>
      <w:r>
        <w:rPr>
          <w:rFonts w:eastAsia="Arial" w:cs="Arial"/>
          <w:sz w:val="22"/>
          <w:szCs w:val="22"/>
        </w:rPr>
        <w:t>Third-party APIs (OpenAI, ElevenLabs, etc.) remain under their respective licenses.</w:t>
      </w:r>
    </w:p>
    <w:p>
      <w:pPr>
        <w:pStyle w:val="Normal"/>
        <w:spacing w:before="120" w:after="120"/>
        <w:jc w:val="both"/>
        <w:rPr/>
      </w:pPr>
      <w:r>
        <w:rPr>
          <w:rFonts w:eastAsia="Arial" w:cs="Arial"/>
          <w:sz w:val="22"/>
          <w:szCs w:val="22"/>
        </w:rPr>
        <w:t>Service Provider retains portfolio rights for anonymised case studies.</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11: LIMITATION OF LIABILITY</w:t>
      </w:r>
    </w:p>
    <w:p>
      <w:pPr>
        <w:pStyle w:val="Normal"/>
        <w:spacing w:before="240" w:after="120"/>
        <w:rPr/>
      </w:pPr>
      <w:r>
        <w:rPr>
          <w:rFonts w:eastAsia="Arial" w:cs="Arial"/>
          <w:b/>
          <w:bCs/>
          <w:sz w:val="22"/>
          <w:szCs w:val="22"/>
        </w:rPr>
        <w:t>11.1 Exclusion of Consequential Damages</w:t>
      </w:r>
    </w:p>
    <w:p>
      <w:pPr>
        <w:pStyle w:val="Normal"/>
        <w:spacing w:before="120" w:after="120"/>
        <w:jc w:val="both"/>
        <w:rPr/>
      </w:pPr>
      <w:r>
        <w:rPr>
          <w:rFonts w:eastAsia="Arial" w:cs="Arial"/>
          <w:sz w:val="22"/>
          <w:szCs w:val="22"/>
        </w:rPr>
        <w:t>Neither party shall be liable to the other for any indirect, incidental, special, consequential, or punitive damages, including lost profits, loss of revenue, or loss of data, even if advised of their possibility, except to the extent such limitation is prohibited by applicable law.</w:t>
      </w:r>
    </w:p>
    <w:p>
      <w:pPr>
        <w:pStyle w:val="Normal"/>
        <w:spacing w:before="240" w:after="120"/>
        <w:rPr/>
      </w:pPr>
      <w:r>
        <w:rPr>
          <w:rFonts w:eastAsia="Arial" w:cs="Arial"/>
          <w:b/>
          <w:bCs/>
          <w:sz w:val="22"/>
          <w:szCs w:val="22"/>
        </w:rPr>
        <w:t>11.2 Liability Cap</w:t>
      </w:r>
    </w:p>
    <w:p>
      <w:pPr>
        <w:pStyle w:val="Normal"/>
        <w:spacing w:before="120" w:after="120"/>
        <w:jc w:val="both"/>
        <w:rPr/>
      </w:pPr>
      <w:r>
        <w:rPr>
          <w:rFonts w:eastAsia="Arial" w:cs="Arial"/>
          <w:sz w:val="22"/>
          <w:szCs w:val="22"/>
        </w:rPr>
        <w:t>Subject to Section 11.3, the Service Provider's total aggregate liability arising out of or in connection with this Agreement, whether in contract, tort (including negligence), or otherwise, shall not exceed the total fees paid or payable by the Client under this Agreement.</w:t>
      </w:r>
    </w:p>
    <w:p>
      <w:pPr>
        <w:pStyle w:val="Normal"/>
        <w:spacing w:before="240" w:after="120"/>
        <w:rPr/>
      </w:pPr>
      <w:r>
        <w:rPr>
          <w:rFonts w:eastAsia="Arial" w:cs="Arial"/>
          <w:b/>
          <w:bCs/>
          <w:sz w:val="22"/>
          <w:szCs w:val="22"/>
        </w:rPr>
        <w:t>11.3 Exceptions</w:t>
      </w:r>
    </w:p>
    <w:p>
      <w:pPr>
        <w:pStyle w:val="Normal"/>
        <w:spacing w:before="120" w:after="120"/>
        <w:jc w:val="both"/>
        <w:rPr/>
      </w:pPr>
      <w:r>
        <w:rPr>
          <w:rFonts w:eastAsia="Arial" w:cs="Arial"/>
          <w:sz w:val="22"/>
          <w:szCs w:val="22"/>
        </w:rPr>
        <w:t>The limitations in Sections 11.1 and 11.2 shall NOT apply to:</w:t>
      </w:r>
    </w:p>
    <w:p>
      <w:pPr>
        <w:pStyle w:val="ListParagraph"/>
        <w:numPr>
          <w:ilvl w:val="0"/>
          <w:numId w:val="49"/>
        </w:numPr>
        <w:spacing w:before="80" w:after="80"/>
        <w:rPr/>
      </w:pPr>
      <w:r>
        <w:rPr>
          <w:rFonts w:eastAsia="Arial" w:cs="Arial"/>
          <w:sz w:val="22"/>
          <w:szCs w:val="22"/>
        </w:rPr>
        <w:t>Breaches of confidentiality obligations under Article 15</w:t>
      </w:r>
    </w:p>
    <w:p>
      <w:pPr>
        <w:pStyle w:val="ListParagraph"/>
        <w:numPr>
          <w:ilvl w:val="0"/>
          <w:numId w:val="30"/>
        </w:numPr>
        <w:spacing w:before="80" w:after="80"/>
        <w:rPr/>
      </w:pPr>
      <w:r>
        <w:rPr>
          <w:rFonts w:eastAsia="Arial" w:cs="Arial"/>
          <w:sz w:val="22"/>
          <w:szCs w:val="22"/>
        </w:rPr>
        <w:t>Client's payment obligations</w:t>
      </w:r>
    </w:p>
    <w:p>
      <w:pPr>
        <w:pStyle w:val="ListParagraph"/>
        <w:numPr>
          <w:ilvl w:val="0"/>
          <w:numId w:val="30"/>
        </w:numPr>
        <w:spacing w:before="80" w:after="80"/>
        <w:rPr/>
      </w:pPr>
      <w:r>
        <w:rPr>
          <w:rFonts w:eastAsia="Arial" w:cs="Arial"/>
          <w:sz w:val="22"/>
          <w:szCs w:val="22"/>
        </w:rPr>
        <w:t>Gross negligence or wilful misconduct</w:t>
      </w:r>
    </w:p>
    <w:p>
      <w:pPr>
        <w:pStyle w:val="ListParagraph"/>
        <w:numPr>
          <w:ilvl w:val="0"/>
          <w:numId w:val="30"/>
        </w:numPr>
        <w:spacing w:before="80" w:after="80"/>
        <w:rPr/>
      </w:pPr>
      <w:r>
        <w:rPr>
          <w:rFonts w:eastAsia="Arial" w:cs="Arial"/>
          <w:sz w:val="22"/>
          <w:szCs w:val="22"/>
        </w:rPr>
        <w:t>Fraud</w:t>
      </w:r>
    </w:p>
    <w:p>
      <w:pPr>
        <w:pStyle w:val="Normal"/>
        <w:pBdr>
          <w:bottom w:val="single" w:sz="6" w:space="4" w:color="00A4AC"/>
        </w:pBdr>
        <w:spacing w:before="360" w:after="200"/>
        <w:rPr/>
      </w:pPr>
      <w:r>
        <w:rPr>
          <w:rFonts w:eastAsia="Arial" w:cs="Arial"/>
          <w:b/>
          <w:bCs/>
          <w:color w:val="000000"/>
          <w:sz w:val="24"/>
          <w:szCs w:val="24"/>
        </w:rPr>
        <w:t>ARTICLE 12: INDEMNIFICATION</w:t>
      </w:r>
    </w:p>
    <w:p>
      <w:pPr>
        <w:pStyle w:val="Normal"/>
        <w:spacing w:before="240" w:after="120"/>
        <w:rPr/>
      </w:pPr>
      <w:r>
        <w:rPr>
          <w:rFonts w:eastAsia="Arial" w:cs="Arial"/>
          <w:b/>
          <w:bCs/>
          <w:sz w:val="22"/>
          <w:szCs w:val="22"/>
        </w:rPr>
        <w:t>12.1 Service Provider Indemnification</w:t>
      </w:r>
    </w:p>
    <w:p>
      <w:pPr>
        <w:pStyle w:val="Normal"/>
        <w:spacing w:before="120" w:after="120"/>
        <w:jc w:val="both"/>
        <w:rPr/>
      </w:pPr>
      <w:r>
        <w:rPr>
          <w:rFonts w:eastAsia="Arial" w:cs="Arial"/>
          <w:sz w:val="22"/>
          <w:szCs w:val="22"/>
        </w:rPr>
        <w:t>The Service Provider shall indemnify, defend, and hold harmless the Client against any third-party claims arising from:</w:t>
      </w:r>
    </w:p>
    <w:p>
      <w:pPr>
        <w:pStyle w:val="ListParagraph"/>
        <w:numPr>
          <w:ilvl w:val="0"/>
          <w:numId w:val="50"/>
        </w:numPr>
        <w:spacing w:before="80" w:after="80"/>
        <w:rPr/>
      </w:pPr>
      <w:r>
        <w:rPr>
          <w:rFonts w:eastAsia="Arial" w:cs="Arial"/>
          <w:sz w:val="22"/>
          <w:szCs w:val="22"/>
        </w:rPr>
        <w:t>Infringement of any third party's intellectual property rights by the Work Product (excluding claims arising from Client Background IP or Third-Party Components used in accordance with their licences)</w:t>
      </w:r>
    </w:p>
    <w:p>
      <w:pPr>
        <w:pStyle w:val="ListParagraph"/>
        <w:numPr>
          <w:ilvl w:val="0"/>
          <w:numId w:val="31"/>
        </w:numPr>
        <w:spacing w:before="80" w:after="80"/>
        <w:rPr/>
      </w:pPr>
      <w:r>
        <w:rPr>
          <w:rFonts w:eastAsia="Arial" w:cs="Arial"/>
          <w:sz w:val="22"/>
          <w:szCs w:val="22"/>
        </w:rPr>
        <w:t>Gross negligence or wilful misconduct of the Service Provider</w:t>
      </w:r>
    </w:p>
    <w:p>
      <w:pPr>
        <w:pStyle w:val="Normal"/>
        <w:spacing w:before="240" w:after="120"/>
        <w:rPr/>
      </w:pPr>
      <w:r>
        <w:rPr>
          <w:rFonts w:eastAsia="Arial" w:cs="Arial"/>
          <w:b/>
          <w:bCs/>
          <w:sz w:val="22"/>
          <w:szCs w:val="22"/>
        </w:rPr>
        <w:t>12.2 Client Indemnification</w:t>
      </w:r>
    </w:p>
    <w:p>
      <w:pPr>
        <w:pStyle w:val="Normal"/>
        <w:spacing w:before="120" w:after="120"/>
        <w:jc w:val="both"/>
        <w:rPr/>
      </w:pPr>
      <w:r>
        <w:rPr>
          <w:rFonts w:eastAsia="Arial" w:cs="Arial"/>
          <w:sz w:val="22"/>
          <w:szCs w:val="22"/>
        </w:rPr>
        <w:t>The Client shall indemnify, defend, and hold harmless the Service Provider against any third-party claims arising solely from the Client Background IP provided to the Service Provider, except to the extent such claim is caused by the Service Provider's modifications to or combination of such Client Background IP with other materials.</w:t>
      </w:r>
    </w:p>
    <w:p>
      <w:pPr>
        <w:pStyle w:val="Normal"/>
        <w:spacing w:before="240" w:after="120"/>
        <w:rPr/>
      </w:pPr>
      <w:r>
        <w:rPr>
          <w:rFonts w:eastAsia="Arial" w:cs="Arial"/>
          <w:b/>
          <w:bCs/>
          <w:sz w:val="22"/>
          <w:szCs w:val="22"/>
        </w:rPr>
        <w:t>12.3 Survival</w:t>
      </w:r>
    </w:p>
    <w:p>
      <w:pPr>
        <w:pStyle w:val="Normal"/>
        <w:spacing w:before="120" w:after="120"/>
        <w:jc w:val="both"/>
        <w:rPr/>
      </w:pPr>
      <w:r>
        <w:rPr>
          <w:rFonts w:eastAsia="Arial" w:cs="Arial"/>
          <w:sz w:val="22"/>
          <w:szCs w:val="22"/>
        </w:rPr>
        <w:t>Indemnification obligations shall survive termination of this Agreement.</w:t>
      </w:r>
    </w:p>
    <w:p>
      <w:pPr>
        <w:pStyle w:val="Normal"/>
        <w:pBdr>
          <w:bottom w:val="single" w:sz="6" w:space="4" w:color="00A4AC"/>
        </w:pBdr>
        <w:spacing w:before="360" w:after="200"/>
        <w:rPr/>
      </w:pPr>
      <w:r>
        <w:rPr>
          <w:rFonts w:eastAsia="Arial" w:cs="Arial"/>
          <w:b/>
          <w:bCs/>
          <w:color w:val="000000"/>
          <w:sz w:val="24"/>
          <w:szCs w:val="24"/>
        </w:rPr>
        <w:t>ARTICLE 13: MAINTENANCE &amp; SUPPORT</w:t>
      </w:r>
    </w:p>
    <w:p>
      <w:pPr>
        <w:pStyle w:val="Normal"/>
        <w:spacing w:before="240" w:after="120"/>
        <w:rPr/>
      </w:pPr>
      <w:r>
        <w:rPr>
          <w:rFonts w:eastAsia="Arial" w:cs="Arial"/>
          <w:b/>
          <w:bCs/>
          <w:sz w:val="22"/>
          <w:szCs w:val="22"/>
        </w:rPr>
        <w:t>13.1 Included in Project Scope</w:t>
      </w:r>
    </w:p>
    <w:p>
      <w:pPr>
        <w:pStyle w:val="ListParagraph"/>
        <w:numPr>
          <w:ilvl w:val="0"/>
          <w:numId w:val="51"/>
        </w:numPr>
        <w:spacing w:before="80" w:after="80"/>
        <w:rPr/>
      </w:pPr>
      <w:r>
        <w:rPr>
          <w:rFonts w:eastAsia="Arial" w:cs="Arial"/>
          <w:sz w:val="22"/>
          <w:szCs w:val="22"/>
        </w:rPr>
        <w:t>30 days post-launch support for bug fixes</w:t>
      </w:r>
    </w:p>
    <w:p>
      <w:pPr>
        <w:pStyle w:val="ListParagraph"/>
        <w:numPr>
          <w:ilvl w:val="0"/>
          <w:numId w:val="32"/>
        </w:numPr>
        <w:spacing w:before="80" w:after="80"/>
        <w:rPr/>
      </w:pPr>
      <w:r>
        <w:rPr>
          <w:rFonts w:eastAsia="Arial" w:cs="Arial"/>
          <w:sz w:val="22"/>
          <w:szCs w:val="22"/>
        </w:rPr>
        <w:t>Minor adjustments and optimizations during launch period</w:t>
      </w:r>
    </w:p>
    <w:p>
      <w:pPr>
        <w:pStyle w:val="Normal"/>
        <w:spacing w:before="240" w:after="120"/>
        <w:rPr/>
      </w:pPr>
      <w:r>
        <w:rPr>
          <w:rFonts w:eastAsia="Arial" w:cs="Arial"/>
          <w:b/>
          <w:bCs/>
          <w:sz w:val="22"/>
          <w:szCs w:val="22"/>
        </w:rPr>
        <w:t>13.2 Ongoing Support (€400/month)</w:t>
      </w:r>
    </w:p>
    <w:p>
      <w:pPr>
        <w:pStyle w:val="ListParagraph"/>
        <w:numPr>
          <w:ilvl w:val="0"/>
          <w:numId w:val="32"/>
        </w:numPr>
        <w:spacing w:before="80" w:after="80"/>
        <w:rPr/>
      </w:pPr>
      <w:r>
        <w:rPr>
          <w:rFonts w:eastAsia="Arial" w:cs="Arial"/>
          <w:sz w:val="22"/>
          <w:szCs w:val="22"/>
        </w:rPr>
        <w:t>12-month warranty coverage for bugs,defects, backup and secuirty.</w:t>
      </w:r>
    </w:p>
    <w:p>
      <w:pPr>
        <w:pStyle w:val="ListParagraph"/>
        <w:numPr>
          <w:ilvl w:val="0"/>
          <w:numId w:val="32"/>
        </w:numPr>
        <w:spacing w:before="80" w:after="80"/>
        <w:rPr/>
      </w:pPr>
      <w:r>
        <w:rPr>
          <w:rFonts w:eastAsia="Arial" w:cs="Arial"/>
          <w:sz w:val="22"/>
          <w:szCs w:val="22"/>
        </w:rPr>
        <w:t>Regular updates and optimizations (up to 8 hours per month)</w:t>
      </w:r>
    </w:p>
    <w:p>
      <w:pPr>
        <w:pStyle w:val="ListParagraph"/>
        <w:numPr>
          <w:ilvl w:val="0"/>
          <w:numId w:val="32"/>
        </w:numPr>
        <w:spacing w:before="80" w:after="80"/>
        <w:rPr/>
      </w:pPr>
      <w:r>
        <w:rPr>
          <w:rFonts w:eastAsia="Arial" w:cs="Arial"/>
          <w:sz w:val="22"/>
          <w:szCs w:val="22"/>
        </w:rPr>
        <w:t>Priority support for issues</w:t>
      </w:r>
    </w:p>
    <w:p>
      <w:pPr>
        <w:pStyle w:val="ListParagraph"/>
        <w:numPr>
          <w:ilvl w:val="0"/>
          <w:numId w:val="32"/>
        </w:numPr>
        <w:spacing w:before="80" w:after="80"/>
        <w:rPr/>
      </w:pPr>
      <w:r>
        <w:rPr>
          <w:rFonts w:eastAsia="Arial" w:cs="Arial"/>
          <w:sz w:val="22"/>
          <w:szCs w:val="22"/>
        </w:rPr>
        <w:t>Monthly backups of logs, models, and configurations</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14: LIMITATIONS</w:t>
      </w:r>
    </w:p>
    <w:p>
      <w:pPr>
        <w:pStyle w:val="ListParagraph"/>
        <w:numPr>
          <w:ilvl w:val="0"/>
          <w:numId w:val="52"/>
        </w:numPr>
        <w:spacing w:before="80" w:after="80"/>
        <w:rPr/>
      </w:pPr>
      <w:r>
        <w:rPr>
          <w:rFonts w:eastAsia="Arial" w:cs="Arial"/>
          <w:sz w:val="22"/>
          <w:szCs w:val="22"/>
        </w:rPr>
        <w:t>Major workflow, language, or feature changes after approval may incur additional charges</w:t>
      </w:r>
    </w:p>
    <w:p>
      <w:pPr>
        <w:pStyle w:val="ListParagraph"/>
        <w:numPr>
          <w:ilvl w:val="0"/>
          <w:numId w:val="33"/>
        </w:numPr>
        <w:spacing w:before="80" w:after="80"/>
        <w:rPr/>
      </w:pPr>
      <w:r>
        <w:rPr>
          <w:rFonts w:eastAsia="Arial" w:cs="Arial"/>
          <w:sz w:val="22"/>
          <w:szCs w:val="22"/>
        </w:rPr>
        <w:t>API and third-party service fees after MVP are Client's responsibility</w:t>
      </w:r>
    </w:p>
    <w:p>
      <w:pPr>
        <w:pStyle w:val="ListParagraph"/>
        <w:numPr>
          <w:ilvl w:val="0"/>
          <w:numId w:val="33"/>
        </w:numPr>
        <w:spacing w:before="80" w:after="80"/>
        <w:rPr/>
      </w:pPr>
      <w:r>
        <w:rPr>
          <w:rFonts w:eastAsia="Arial" w:cs="Arial"/>
          <w:sz w:val="22"/>
          <w:szCs w:val="22"/>
        </w:rPr>
        <w:t>Service Provider is not liable for content accuracy provided by Client, third-party API outages, or force majeure events</w:t>
      </w:r>
    </w:p>
    <w:p>
      <w:pPr>
        <w:pStyle w:val="ListParagraph"/>
        <w:numPr>
          <w:ilvl w:val="0"/>
          <w:numId w:val="33"/>
        </w:numPr>
        <w:spacing w:before="80" w:after="80"/>
        <w:rPr/>
      </w:pPr>
      <w:r>
        <w:rPr>
          <w:rFonts w:eastAsia="Arial" w:cs="Arial"/>
          <w:sz w:val="22"/>
          <w:szCs w:val="22"/>
        </w:rPr>
        <w:t>AI responses based on training data; accuracy depends on data quality</w:t>
      </w:r>
    </w:p>
    <w:p>
      <w:pPr>
        <w:pStyle w:val="ListParagraph"/>
        <w:numPr>
          <w:ilvl w:val="0"/>
          <w:numId w:val="33"/>
        </w:numPr>
        <w:spacing w:before="80" w:after="80"/>
        <w:rPr/>
      </w:pPr>
      <w:r>
        <w:rPr>
          <w:rFonts w:eastAsia="Arial" w:cs="Arial"/>
          <w:sz w:val="22"/>
          <w:szCs w:val="22"/>
        </w:rPr>
        <w:t>Service Provider does not guarantee specific business outcomes</w:t>
      </w:r>
    </w:p>
    <w:p>
      <w:pPr>
        <w:pStyle w:val="Normal"/>
        <w:pBdr>
          <w:bottom w:val="single" w:sz="6" w:space="4" w:color="00A4AC"/>
        </w:pBdr>
        <w:spacing w:before="360" w:after="200"/>
        <w:rPr/>
      </w:pPr>
      <w:r>
        <w:rPr>
          <w:rFonts w:eastAsia="Arial" w:cs="Arial"/>
          <w:b/>
          <w:bCs/>
          <w:color w:val="000000"/>
          <w:sz w:val="24"/>
          <w:szCs w:val="24"/>
        </w:rPr>
        <w:t>ARTICLE 15: DATA &amp; PRIVACY</w:t>
      </w:r>
    </w:p>
    <w:p>
      <w:pPr>
        <w:pStyle w:val="ListParagraph"/>
        <w:numPr>
          <w:ilvl w:val="0"/>
          <w:numId w:val="53"/>
        </w:numPr>
        <w:spacing w:before="80" w:after="80"/>
        <w:rPr/>
      </w:pPr>
      <w:r>
        <w:rPr>
          <w:rFonts w:eastAsia="Arial" w:cs="Arial"/>
          <w:sz w:val="22"/>
          <w:szCs w:val="22"/>
        </w:rPr>
        <w:t>Service Provider will handle all data in compliance with GDPR and applicable privacy laws</w:t>
      </w:r>
    </w:p>
    <w:p>
      <w:pPr>
        <w:pStyle w:val="ListParagraph"/>
        <w:numPr>
          <w:ilvl w:val="0"/>
          <w:numId w:val="34"/>
        </w:numPr>
        <w:spacing w:before="80" w:after="80"/>
        <w:rPr/>
      </w:pPr>
      <w:r>
        <w:rPr>
          <w:rFonts w:eastAsia="Arial" w:cs="Arial"/>
          <w:sz w:val="22"/>
          <w:szCs w:val="22"/>
        </w:rPr>
        <w:t>Client data remains Client property at all times</w:t>
      </w:r>
    </w:p>
    <w:p>
      <w:pPr>
        <w:pStyle w:val="ListParagraph"/>
        <w:numPr>
          <w:ilvl w:val="0"/>
          <w:numId w:val="34"/>
        </w:numPr>
        <w:spacing w:before="80" w:after="80"/>
        <w:rPr/>
      </w:pPr>
      <w:r>
        <w:rPr>
          <w:rFonts w:eastAsia="Arial" w:cs="Arial"/>
          <w:sz w:val="22"/>
          <w:szCs w:val="22"/>
        </w:rPr>
        <w:t>Service Provider will not use Client data for purposes other than project delivery</w:t>
      </w:r>
    </w:p>
    <w:p>
      <w:pPr>
        <w:pStyle w:val="ListParagraph"/>
        <w:numPr>
          <w:ilvl w:val="0"/>
          <w:numId w:val="34"/>
        </w:numPr>
        <w:spacing w:before="80" w:after="80"/>
        <w:rPr/>
      </w:pPr>
      <w:r>
        <w:rPr>
          <w:rFonts w:eastAsia="Arial" w:cs="Arial"/>
          <w:sz w:val="22"/>
          <w:szCs w:val="22"/>
        </w:rPr>
        <w:t>Data processing agreement (DPA) available upon request</w:t>
      </w:r>
    </w:p>
    <w:p>
      <w:pPr>
        <w:pStyle w:val="Normal"/>
        <w:pBdr>
          <w:bottom w:val="single" w:sz="6" w:space="4" w:color="00A4AC"/>
        </w:pBdr>
        <w:spacing w:before="360" w:after="200"/>
        <w:rPr/>
      </w:pPr>
      <w:r>
        <w:rPr>
          <w:rFonts w:eastAsia="Arial" w:cs="Arial"/>
          <w:b/>
          <w:bCs/>
          <w:color w:val="000000"/>
          <w:sz w:val="24"/>
          <w:szCs w:val="24"/>
        </w:rPr>
        <w:t>ARTICLE 16: TERMINATION</w:t>
      </w:r>
    </w:p>
    <w:p>
      <w:pPr>
        <w:pStyle w:val="ListParagraph"/>
        <w:numPr>
          <w:ilvl w:val="0"/>
          <w:numId w:val="54"/>
        </w:numPr>
        <w:spacing w:before="80" w:after="80"/>
        <w:rPr/>
      </w:pPr>
      <w:r>
        <w:rPr>
          <w:rFonts w:eastAsia="Arial" w:cs="Arial"/>
          <w:sz w:val="22"/>
          <w:szCs w:val="22"/>
        </w:rPr>
        <w:t>Either party may terminate with fourteen (14) days' written notice</w:t>
      </w:r>
    </w:p>
    <w:p>
      <w:pPr>
        <w:pStyle w:val="ListParagraph"/>
        <w:numPr>
          <w:ilvl w:val="0"/>
          <w:numId w:val="35"/>
        </w:numPr>
        <w:spacing w:before="80" w:after="80"/>
        <w:rPr/>
      </w:pPr>
      <w:r>
        <w:rPr>
          <w:rFonts w:eastAsia="Arial" w:cs="Arial"/>
          <w:sz w:val="22"/>
          <w:szCs w:val="22"/>
        </w:rPr>
        <w:t>Immediate termination for material breach if not cured within seven (7) days</w:t>
      </w:r>
    </w:p>
    <w:p>
      <w:pPr>
        <w:pStyle w:val="ListParagraph"/>
        <w:numPr>
          <w:ilvl w:val="0"/>
          <w:numId w:val="35"/>
        </w:numPr>
        <w:spacing w:before="80" w:after="80"/>
        <w:rPr/>
      </w:pPr>
      <w:r>
        <w:rPr>
          <w:rFonts w:eastAsia="Arial" w:cs="Arial"/>
          <w:sz w:val="22"/>
          <w:szCs w:val="22"/>
        </w:rPr>
        <w:t>Cancellations must be submitted in writing; all completed work must be paid in full</w:t>
      </w:r>
    </w:p>
    <w:p>
      <w:pPr>
        <w:pStyle w:val="ListParagraph"/>
        <w:numPr>
          <w:ilvl w:val="0"/>
          <w:numId w:val="35"/>
        </w:numPr>
        <w:spacing w:before="80" w:after="80"/>
        <w:rPr/>
      </w:pPr>
      <w:r>
        <w:rPr>
          <w:rFonts w:eastAsia="Arial" w:cs="Arial"/>
          <w:sz w:val="22"/>
          <w:szCs w:val="22"/>
        </w:rPr>
        <w:t>Initial deposit is non-refundable after work commences</w:t>
      </w:r>
    </w:p>
    <w:p>
      <w:pPr>
        <w:pStyle w:val="ListParagraph"/>
        <w:numPr>
          <w:ilvl w:val="0"/>
          <w:numId w:val="35"/>
        </w:numPr>
        <w:spacing w:before="80" w:after="80"/>
        <w:rPr/>
      </w:pPr>
      <w:r>
        <w:rPr>
          <w:rFonts w:eastAsia="Arial" w:cs="Arial"/>
          <w:sz w:val="22"/>
          <w:szCs w:val="22"/>
        </w:rPr>
        <w:t>Upon termination, Client receives all completed work only after payment in full</w:t>
      </w:r>
    </w:p>
    <w:p>
      <w:pPr>
        <w:pStyle w:val="Normal"/>
        <w:spacing w:before="240" w:after="120"/>
        <w:rPr/>
      </w:pPr>
      <w:r>
        <w:rPr>
          <w:rFonts w:eastAsia="Arial" w:cs="Arial"/>
          <w:b/>
          <w:bCs/>
          <w:sz w:val="22"/>
          <w:szCs w:val="22"/>
        </w:rPr>
        <w:t>16.2 Consequences of Termination</w:t>
      </w:r>
    </w:p>
    <w:p>
      <w:pPr>
        <w:pStyle w:val="Normal"/>
        <w:spacing w:before="120" w:after="120"/>
        <w:jc w:val="both"/>
        <w:rPr/>
      </w:pPr>
      <w:r>
        <w:rPr>
          <w:rFonts w:eastAsia="Arial" w:cs="Arial"/>
          <w:sz w:val="22"/>
          <w:szCs w:val="22"/>
        </w:rPr>
        <w:t>(a) Payment on Termination by Client for Convenience: The Client shall pay for all completed milestones accepted by the Client plus a pro-rata payment for documented work in progress at the effective date of termination.</w:t>
      </w:r>
    </w:p>
    <w:p>
      <w:pPr>
        <w:pStyle w:val="Normal"/>
        <w:spacing w:before="120" w:after="120"/>
        <w:jc w:val="both"/>
        <w:rPr/>
      </w:pPr>
      <w:r>
        <w:rPr>
          <w:rFonts w:eastAsia="Arial" w:cs="Arial"/>
          <w:sz w:val="22"/>
          <w:szCs w:val="22"/>
        </w:rPr>
        <w:t>(b) Payment on Termination by Client for Cause: Where the Client terminates for the Service Provider's uncured material breach, the Client shall pay only for Deliverables already accepted, and any deposit shall be refundable to the extent work was not performed in accordance with this Agreement.</w:t>
      </w:r>
    </w:p>
    <w:p>
      <w:pPr>
        <w:pStyle w:val="Normal"/>
        <w:spacing w:before="120" w:after="120"/>
        <w:jc w:val="both"/>
        <w:rPr/>
      </w:pPr>
      <w:r>
        <w:rPr>
          <w:rFonts w:eastAsia="Arial" w:cs="Arial"/>
          <w:sz w:val="22"/>
          <w:szCs w:val="22"/>
        </w:rPr>
        <w:t>(c) Payment on Termination by Service Provider for Cause: Where the Service Provider terminates for the Client's uncured material breach, the Client shall pay for all completed and accepted work plus reasonable, documented costs incurred for work in progress.</w:t>
      </w:r>
    </w:p>
    <w:p>
      <w:pPr>
        <w:pStyle w:val="Normal"/>
        <w:spacing w:before="120" w:after="120"/>
        <w:jc w:val="both"/>
        <w:rPr/>
      </w:pPr>
      <w:r>
        <w:rPr>
          <w:rFonts w:eastAsia="Arial" w:cs="Arial"/>
          <w:sz w:val="22"/>
          <w:szCs w:val="22"/>
        </w:rPr>
        <w:t>(d) Delivery of Materials: Within seven (7) days of termination or expiry, the Service Provider shall deliver to the Client all Work Product, source code, documentation, and Client data in its possession or control, subject to receipt of all undisputed payments due.</w:t>
      </w:r>
    </w:p>
    <w:p>
      <w:pPr>
        <w:pStyle w:val="Normal"/>
        <w:pBdr>
          <w:bottom w:val="single" w:sz="6" w:space="4" w:color="00A4AC"/>
        </w:pBdr>
        <w:spacing w:before="360" w:after="200"/>
        <w:rPr/>
      </w:pPr>
      <w:r>
        <w:rPr>
          <w:rFonts w:eastAsia="Arial" w:cs="Arial"/>
          <w:b/>
          <w:bCs/>
          <w:color w:val="000000"/>
          <w:sz w:val="24"/>
          <w:szCs w:val="24"/>
        </w:rPr>
        <w:t>ARTICLE 17: CONFIDENTIALITY</w:t>
      </w:r>
    </w:p>
    <w:p>
      <w:pPr>
        <w:pStyle w:val="Normal"/>
        <w:spacing w:before="120" w:after="120"/>
        <w:jc w:val="both"/>
        <w:rPr/>
      </w:pPr>
      <w:r>
        <w:rPr>
          <w:rFonts w:eastAsia="Arial" w:cs="Arial"/>
          <w:sz w:val="22"/>
          <w:szCs w:val="22"/>
        </w:rPr>
        <w:t>All business, technical, and proprietary information remains strictly confidential. Confidentiality obligation survives for five (5) years after agreement termination, and in perpetuity for trade secrets. Protected information includes business strategies, customer data, technical specifications, AI training data, and financial information.</w:t>
      </w:r>
    </w:p>
    <w:p>
      <w:pPr>
        <w:pStyle w:val="Normal"/>
        <w:pBdr>
          <w:bottom w:val="single" w:sz="6" w:space="4" w:color="00A4AC"/>
        </w:pBdr>
        <w:spacing w:before="360" w:after="200"/>
        <w:rPr/>
      </w:pPr>
      <w:r>
        <w:rPr>
          <w:rFonts w:eastAsia="Arial" w:cs="Arial"/>
          <w:b/>
          <w:bCs/>
          <w:color w:val="000000"/>
          <w:sz w:val="24"/>
          <w:szCs w:val="24"/>
        </w:rPr>
        <w:t>ARTICLE 18: FORCE MAJEURE</w:t>
      </w:r>
    </w:p>
    <w:p>
      <w:pPr>
        <w:pStyle w:val="Normal"/>
        <w:spacing w:before="120" w:after="120"/>
        <w:jc w:val="both"/>
        <w:rPr/>
      </w:pPr>
      <w:r>
        <w:rPr>
          <w:rFonts w:eastAsia="Arial" w:cs="Arial"/>
          <w:sz w:val="22"/>
          <w:szCs w:val="22"/>
        </w:rPr>
        <w:t>18.1 Neither party shall be liable for delays or failures to perform its obligations (excluding payment obligations) due to circumstances beyond its reasonable control, including natural disasters, war, terrorism, pandemics, government actions, or third-party service outages.</w:t>
      </w:r>
    </w:p>
    <w:p>
      <w:pPr>
        <w:pStyle w:val="Normal"/>
        <w:spacing w:before="120" w:after="120"/>
        <w:jc w:val="both"/>
        <w:rPr/>
      </w:pPr>
      <w:r>
        <w:rPr>
          <w:rFonts w:eastAsia="Arial" w:cs="Arial"/>
          <w:sz w:val="22"/>
          <w:szCs w:val="22"/>
        </w:rPr>
        <w:t>18.2 The affected party shall promptly notify the other party and use reasonable efforts to mitigate the impact.</w:t>
      </w:r>
    </w:p>
    <w:p>
      <w:pPr>
        <w:pStyle w:val="Normal"/>
        <w:spacing w:before="120" w:after="120"/>
        <w:jc w:val="both"/>
        <w:rPr/>
      </w:pPr>
      <w:r>
        <w:rPr>
          <w:rFonts w:eastAsia="Arial" w:cs="Arial"/>
          <w:sz w:val="22"/>
          <w:szCs w:val="22"/>
        </w:rPr>
        <w:t>18.3 If a force majeure event continues for more than sixty (60) days, either party may terminate this Agreement upon written notice without liability (other than for amounts accrued prior to termination).</w:t>
      </w:r>
    </w:p>
    <w:p>
      <w:pPr>
        <w:pStyle w:val="Normal"/>
        <w:rPr/>
      </w:pPr>
      <w:r>
        <w:rPr/>
      </w:r>
      <w:r>
        <w:br w:type="page"/>
      </w:r>
    </w:p>
    <w:p>
      <w:pPr>
        <w:pStyle w:val="Normal"/>
        <w:pBdr>
          <w:bottom w:val="single" w:sz="6" w:space="4" w:color="00A4AC"/>
        </w:pBdr>
        <w:spacing w:before="0" w:after="200"/>
        <w:rPr/>
      </w:pPr>
      <w:r>
        <w:rPr>
          <w:rFonts w:eastAsia="Arial" w:cs="Arial"/>
          <w:b/>
          <w:bCs/>
          <w:color w:val="000000"/>
          <w:sz w:val="24"/>
          <w:szCs w:val="24"/>
        </w:rPr>
        <w:t>ARTICLE 19: DISPUTE RESOLUTION &amp; GOVERNING LAW</w:t>
      </w:r>
    </w:p>
    <w:p>
      <w:pPr>
        <w:pStyle w:val="ListParagraph"/>
        <w:numPr>
          <w:ilvl w:val="0"/>
          <w:numId w:val="55"/>
        </w:numPr>
        <w:spacing w:before="80" w:after="80"/>
        <w:rPr/>
      </w:pPr>
      <w:r>
        <w:rPr>
          <w:rFonts w:eastAsia="Arial" w:cs="Arial"/>
          <w:sz w:val="22"/>
          <w:szCs w:val="22"/>
        </w:rPr>
        <w:t>Disputes shall first be addressed through good-faith discussions</w:t>
      </w:r>
    </w:p>
    <w:p>
      <w:pPr>
        <w:pStyle w:val="ListParagraph"/>
        <w:numPr>
          <w:ilvl w:val="0"/>
          <w:numId w:val="36"/>
        </w:numPr>
        <w:spacing w:before="80" w:after="80"/>
        <w:rPr/>
      </w:pPr>
      <w:r>
        <w:rPr>
          <w:rFonts w:eastAsia="Arial" w:cs="Arial"/>
          <w:sz w:val="22"/>
          <w:szCs w:val="22"/>
        </w:rPr>
        <w:t>If unresolved within thirty (30) days, parties may proceed to mediation</w:t>
      </w:r>
    </w:p>
    <w:p>
      <w:pPr>
        <w:pStyle w:val="ListParagraph"/>
        <w:numPr>
          <w:ilvl w:val="0"/>
          <w:numId w:val="36"/>
        </w:numPr>
        <w:spacing w:before="80" w:after="80"/>
        <w:rPr/>
      </w:pPr>
      <w:r>
        <w:rPr>
          <w:rFonts w:eastAsia="Arial" w:cs="Arial"/>
          <w:sz w:val="22"/>
          <w:szCs w:val="22"/>
        </w:rPr>
        <w:t>If mediation fails, disputes referred to the competent courts of Cyprus</w:t>
      </w:r>
    </w:p>
    <w:p>
      <w:pPr>
        <w:pStyle w:val="ListParagraph"/>
        <w:numPr>
          <w:ilvl w:val="0"/>
          <w:numId w:val="36"/>
        </w:numPr>
        <w:spacing w:before="80" w:after="80"/>
        <w:rPr/>
      </w:pPr>
      <w:r>
        <w:rPr>
          <w:rFonts w:eastAsia="Arial" w:cs="Arial"/>
          <w:sz w:val="22"/>
          <w:szCs w:val="22"/>
        </w:rPr>
        <w:t>This Agreement governed by the laws of the Republic of Cyprus</w:t>
      </w:r>
    </w:p>
    <w:p>
      <w:pPr>
        <w:pStyle w:val="Normal"/>
        <w:pBdr>
          <w:bottom w:val="single" w:sz="6" w:space="4" w:color="00A4AC"/>
        </w:pBdr>
        <w:spacing w:before="360" w:after="200"/>
        <w:rPr/>
      </w:pPr>
      <w:r>
        <w:rPr>
          <w:rFonts w:eastAsia="Arial" w:cs="Arial"/>
          <w:b/>
          <w:bCs/>
          <w:color w:val="000000"/>
          <w:sz w:val="24"/>
          <w:szCs w:val="24"/>
        </w:rPr>
        <w:t>ARTICLE 20: ENTIRE AGREEMENT</w:t>
      </w:r>
    </w:p>
    <w:p>
      <w:pPr>
        <w:pStyle w:val="Normal"/>
        <w:spacing w:before="120" w:after="120"/>
        <w:jc w:val="both"/>
        <w:rPr/>
      </w:pPr>
      <w:r>
        <w:rPr>
          <w:rFonts w:eastAsia="Arial" w:cs="Arial"/>
          <w:sz w:val="22"/>
          <w:szCs w:val="22"/>
        </w:rPr>
        <w:t>This Agreement constitutes the complete understanding between the parties and supersedes all prior negotiations, representations, warranties, and agreements. No modification shall be binding unless executed in writing by both parties.</w:t>
      </w:r>
    </w:p>
    <w:p>
      <w:pPr>
        <w:pStyle w:val="Normal"/>
        <w:pBdr>
          <w:bottom w:val="single" w:sz="6" w:space="4" w:color="00A4AC"/>
        </w:pBdr>
        <w:spacing w:before="360" w:after="200"/>
        <w:rPr/>
      </w:pPr>
      <w:r>
        <w:rPr>
          <w:rFonts w:eastAsia="Arial" w:cs="Arial"/>
          <w:b/>
          <w:bCs/>
          <w:color w:val="000000"/>
          <w:sz w:val="24"/>
          <w:szCs w:val="24"/>
        </w:rPr>
        <w:t>SIGNATURES</w:t>
      </w:r>
    </w:p>
    <w:p>
      <w:pPr>
        <w:pStyle w:val="Normal"/>
        <w:spacing w:before="120" w:after="120"/>
        <w:jc w:val="both"/>
        <w:rPr/>
      </w:pPr>
      <w:r>
        <w:rPr>
          <w:rFonts w:eastAsia="Arial" w:cs="Arial"/>
          <w:sz w:val="22"/>
          <w:szCs w:val="22"/>
        </w:rPr>
        <w:t>IN WITNESS WHEREOF, the parties have executed this Agreement as of the Effective Date first written above.</w:t>
      </w:r>
    </w:p>
    <w:p>
      <w:pPr>
        <w:pStyle w:val="Normal"/>
        <w:spacing w:before="400" w:after="0"/>
        <w:rPr/>
      </w:pPr>
      <w:r>
        <w:rPr/>
      </w:r>
    </w:p>
    <w:tbl>
      <w:tblPr>
        <w:tblW w:w="9360" w:type="dxa"/>
        <w:jc w:val="start"/>
        <w:tblInd w:w="0" w:type="dxa"/>
        <w:tblLayout w:type="fixed"/>
        <w:tblCellMar>
          <w:top w:w="0" w:type="dxa"/>
          <w:start w:w="108" w:type="dxa"/>
          <w:bottom w:w="0" w:type="dxa"/>
          <w:end w:w="108" w:type="dxa"/>
        </w:tblCellMar>
      </w:tblPr>
      <w:tblGrid>
        <w:gridCol w:w="4680"/>
        <w:gridCol w:w="4680"/>
      </w:tblGrid>
      <w:tr>
        <w:trPr/>
        <w:tc>
          <w:tcPr>
            <w:tcW w:w="4680" w:type="dxa"/>
            <w:tcBorders/>
          </w:tcPr>
          <w:p>
            <w:pPr>
              <w:pStyle w:val="Normal"/>
              <w:spacing w:before="0" w:after="60"/>
              <w:rPr/>
            </w:pPr>
            <w:r>
              <w:rPr>
                <w:rFonts w:eastAsia="Arial" w:cs="Arial"/>
                <w:b/>
                <w:bCs/>
                <w:color w:val="666666"/>
                <w:sz w:val="18"/>
                <w:szCs w:val="18"/>
              </w:rPr>
              <w:t>SERVICE PROVIDER</w:t>
            </w:r>
          </w:p>
          <w:p>
            <w:pPr>
              <w:pStyle w:val="Normal"/>
              <w:rPr/>
            </w:pPr>
            <w:r>
              <w:rPr>
                <w:rFonts w:eastAsia="Arial" w:cs="Arial"/>
                <w:b/>
                <w:bCs/>
                <w:sz w:val="22"/>
                <w:szCs w:val="22"/>
              </w:rPr>
              <w:t>Qualio Solutions LTD</w:t>
            </w:r>
          </w:p>
          <w:p>
            <w:pPr>
              <w:pStyle w:val="Normal"/>
              <w:spacing w:before="400" w:after="0"/>
              <w:rPr/>
            </w:pPr>
            <w:r>
              <w:rPr/>
            </w:r>
          </w:p>
          <w:p>
            <w:pPr>
              <w:pStyle w:val="Normal"/>
              <w:pBdr>
                <w:bottom w:val="single" w:sz="4" w:space="0" w:color="000000"/>
              </w:pBdr>
              <w:rPr/>
            </w:pPr>
            <w:r>
              <w:rPr/>
            </w:r>
          </w:p>
          <w:p>
            <w:pPr>
              <w:pStyle w:val="Normal"/>
              <w:rPr/>
            </w:pPr>
            <w:r>
              <w:rPr>
                <w:rFonts w:eastAsia="Arial" w:cs="Arial"/>
                <w:color w:val="666666"/>
                <w:sz w:val="18"/>
                <w:szCs w:val="18"/>
              </w:rPr>
              <w:t>Authorized Signatory</w:t>
            </w:r>
          </w:p>
          <w:p>
            <w:pPr>
              <w:pStyle w:val="Normal"/>
              <w:spacing w:before="120" w:after="0"/>
              <w:rPr/>
            </w:pPr>
            <w:r>
              <w:rPr>
                <w:rFonts w:eastAsia="Arial" w:cs="Arial"/>
                <w:sz w:val="22"/>
                <w:szCs w:val="22"/>
              </w:rPr>
              <w:t>Name: Fawzi Goussous</w:t>
            </w:r>
          </w:p>
          <w:p>
            <w:pPr>
              <w:pStyle w:val="Normal"/>
              <w:rPr/>
            </w:pPr>
            <w:r>
              <w:rPr>
                <w:rFonts w:eastAsia="Arial" w:cs="Arial"/>
                <w:sz w:val="22"/>
                <w:szCs w:val="22"/>
              </w:rPr>
              <w:t>Title: Founder &amp; Developer</w:t>
            </w:r>
          </w:p>
          <w:p>
            <w:pPr>
              <w:pStyle w:val="Normal"/>
              <w:rPr/>
            </w:pPr>
            <w:r>
              <w:rPr>
                <w:rFonts w:eastAsia="Arial" w:cs="Arial"/>
                <w:sz w:val="22"/>
                <w:szCs w:val="22"/>
              </w:rPr>
              <w:t xml:space="preserve">Date: </w:t>
            </w:r>
          </w:p>
          <w:p>
            <w:pPr>
              <w:pStyle w:val="Normal"/>
              <w:pBdr>
                <w:bottom w:val="single" w:sz="4" w:space="0" w:color="000000"/>
              </w:pBdr>
              <w:spacing w:before="200" w:after="0"/>
              <w:rPr/>
            </w:pPr>
            <w:r>
              <w:rPr/>
            </w:r>
          </w:p>
          <w:p>
            <w:pPr>
              <w:pStyle w:val="Normal"/>
              <w:spacing w:before="200" w:after="0"/>
              <w:rPr/>
            </w:pPr>
            <w:r>
              <w:rPr/>
            </w:r>
          </w:p>
          <w:p>
            <w:pPr>
              <w:pStyle w:val="Normal"/>
              <w:rPr/>
            </w:pPr>
            <w:r>
              <w:rPr>
                <w:rFonts w:eastAsia="Arial" w:cs="Arial"/>
                <w:b/>
                <w:bCs/>
                <w:sz w:val="22"/>
                <w:szCs w:val="22"/>
              </w:rPr>
              <w:t>Qualia Solutions</w:t>
            </w:r>
          </w:p>
          <w:p>
            <w:pPr>
              <w:pStyle w:val="Normal"/>
              <w:rPr/>
            </w:pPr>
            <w:r>
              <w:rPr>
                <w:rFonts w:eastAsia="Arial" w:cs="Arial"/>
                <w:color w:val="555555"/>
                <w:sz w:val="20"/>
                <w:szCs w:val="20"/>
              </w:rPr>
              <w:t>Ledras 145-First Floor, Nicosia 1011, Cyprus</w:t>
            </w:r>
          </w:p>
          <w:p>
            <w:pPr>
              <w:pStyle w:val="Normal"/>
              <w:rPr/>
            </w:pPr>
            <w:r>
              <w:rPr>
                <w:rFonts w:eastAsia="Arial" w:cs="Arial"/>
                <w:color w:val="555555"/>
                <w:sz w:val="20"/>
                <w:szCs w:val="20"/>
              </w:rPr>
              <w:t>+357 99111668 | info@qualiasolutions.net</w:t>
            </w:r>
          </w:p>
        </w:tc>
        <w:tc>
          <w:tcPr>
            <w:tcW w:w="4680" w:type="dxa"/>
            <w:tcBorders/>
          </w:tcPr>
          <w:p>
            <w:pPr>
              <w:pStyle w:val="Normal"/>
              <w:spacing w:before="0" w:after="60"/>
              <w:rPr/>
            </w:pPr>
            <w:r>
              <w:rPr>
                <w:rFonts w:eastAsia="Arial" w:cs="Arial"/>
                <w:b/>
                <w:bCs/>
                <w:color w:val="666666"/>
                <w:sz w:val="18"/>
                <w:szCs w:val="18"/>
              </w:rPr>
              <w:t>CLIENT</w:t>
            </w:r>
          </w:p>
          <w:p>
            <w:pPr>
              <w:pStyle w:val="Normal"/>
              <w:rPr/>
            </w:pPr>
            <w:r>
              <w:rPr>
                <w:rFonts w:eastAsia="Arial" w:cs="Arial"/>
                <w:b/>
                <w:bCs/>
                <w:sz w:val="22"/>
                <w:szCs w:val="22"/>
              </w:rPr>
              <w:t>GSC Underdog Sales LTD</w:t>
            </w:r>
          </w:p>
          <w:p>
            <w:pPr>
              <w:pStyle w:val="Normal"/>
              <w:spacing w:before="400" w:after="0"/>
              <w:rPr/>
            </w:pPr>
            <w:r>
              <w:rPr/>
            </w:r>
          </w:p>
          <w:p>
            <w:pPr>
              <w:pStyle w:val="Normal"/>
              <w:pBdr>
                <w:bottom w:val="single" w:sz="4" w:space="0" w:color="000000"/>
              </w:pBdr>
              <w:rPr/>
            </w:pPr>
            <w:r>
              <w:rPr/>
            </w:r>
          </w:p>
          <w:p>
            <w:pPr>
              <w:pStyle w:val="Normal"/>
              <w:rPr/>
            </w:pPr>
            <w:r>
              <w:rPr>
                <w:rFonts w:eastAsia="Arial" w:cs="Arial"/>
                <w:color w:val="666666"/>
                <w:sz w:val="18"/>
                <w:szCs w:val="18"/>
              </w:rPr>
              <w:t>Authorized Signatory</w:t>
            </w:r>
          </w:p>
          <w:p>
            <w:pPr>
              <w:pStyle w:val="Normal"/>
              <w:spacing w:before="120" w:after="0"/>
              <w:rPr/>
            </w:pPr>
            <w:r>
              <w:rPr>
                <w:rFonts w:eastAsia="Arial" w:cs="Arial"/>
                <w:sz w:val="22"/>
                <w:szCs w:val="22"/>
              </w:rPr>
              <w:t>Name: Giulio Segantini</w:t>
            </w:r>
          </w:p>
          <w:p>
            <w:pPr>
              <w:pStyle w:val="Normal"/>
              <w:rPr/>
            </w:pPr>
            <w:r>
              <w:rPr>
                <w:rFonts w:eastAsia="Arial" w:cs="Arial"/>
                <w:sz w:val="22"/>
                <w:szCs w:val="22"/>
              </w:rPr>
              <w:t>Title: Director</w:t>
            </w:r>
          </w:p>
          <w:p>
            <w:pPr>
              <w:pStyle w:val="Normal"/>
              <w:rPr/>
            </w:pPr>
            <w:r>
              <w:rPr>
                <w:rFonts w:eastAsia="Arial" w:cs="Arial"/>
                <w:sz w:val="22"/>
                <w:szCs w:val="22"/>
              </w:rPr>
              <w:t xml:space="preserve">Date: </w:t>
            </w:r>
          </w:p>
          <w:p>
            <w:pPr>
              <w:pStyle w:val="Normal"/>
              <w:pBdr>
                <w:bottom w:val="single" w:sz="4" w:space="0" w:color="000000"/>
              </w:pBdr>
              <w:spacing w:before="200" w:after="0"/>
              <w:rPr/>
            </w:pPr>
            <w:r>
              <w:rPr/>
            </w:r>
          </w:p>
          <w:p>
            <w:pPr>
              <w:pStyle w:val="Normal"/>
              <w:spacing w:before="200" w:after="0"/>
              <w:rPr/>
            </w:pPr>
            <w:r>
              <w:rPr/>
            </w:r>
          </w:p>
          <w:p>
            <w:pPr>
              <w:pStyle w:val="Normal"/>
              <w:rPr/>
            </w:pPr>
            <w:r>
              <w:rPr>
                <w:rFonts w:eastAsia="Arial" w:cs="Arial"/>
                <w:b/>
                <w:bCs/>
                <w:sz w:val="22"/>
                <w:szCs w:val="22"/>
              </w:rPr>
              <w:t>GSC Underdog Sales LTD</w:t>
            </w:r>
          </w:p>
          <w:p>
            <w:pPr>
              <w:pStyle w:val="Normal"/>
              <w:rPr/>
            </w:pPr>
            <w:r>
              <w:rPr>
                <w:rFonts w:eastAsia="Arial" w:cs="Arial"/>
                <w:color w:val="555555"/>
                <w:sz w:val="20"/>
                <w:szCs w:val="20"/>
              </w:rPr>
              <w:t>ONISIFOROU CENTER, Floor 2, Paphos, Cyprus</w:t>
            </w:r>
          </w:p>
          <w:p>
            <w:pPr>
              <w:pStyle w:val="Normal"/>
              <w:rPr/>
            </w:pPr>
            <w:r>
              <w:rPr>
                <w:rFonts w:eastAsia="Arial" w:cs="Arial"/>
                <w:color w:val="555555"/>
                <w:sz w:val="20"/>
                <w:szCs w:val="20"/>
              </w:rPr>
              <w:t>gsc@underdogsales.com</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80" w:type="dxa"/>
        <w:start w:w="108" w:type="dxa"/>
        <w:bottom w:w="0" w:type="dxa"/>
        <w:end w:w="108" w:type="dxa"/>
      </w:tblCellMar>
    </w:tblPr>
    <w:tblGrid>
      <w:gridCol w:w="4680"/>
      <w:gridCol w:w="4680"/>
    </w:tblGrid>
    <w:tr>
      <w:trPr/>
      <w:tc>
        <w:tcPr>
          <w:tcW w:w="4680" w:type="dxa"/>
          <w:tcBorders>
            <w:top w:val="single" w:sz="2" w:space="0" w:color="CCCCCC"/>
          </w:tcBorders>
        </w:tcPr>
        <w:p>
          <w:pPr>
            <w:pStyle w:val="Normal"/>
            <w:rPr/>
          </w:pPr>
          <w:r>
            <w:rPr>
              <w:rFonts w:eastAsia="Arial" w:cs="Arial"/>
              <w:color w:val="666666"/>
              <w:sz w:val="16"/>
              <w:szCs w:val="16"/>
            </w:rPr>
            <w:t>Confidential</w:t>
          </w:r>
        </w:p>
      </w:tc>
      <w:tc>
        <w:tcPr>
          <w:tcW w:w="4680" w:type="dxa"/>
          <w:tcBorders>
            <w:top w:val="single" w:sz="2" w:space="0" w:color="CCCCCC"/>
          </w:tcBorders>
        </w:tcPr>
        <w:p>
          <w:pPr>
            <w:pStyle w:val="Normal"/>
            <w:jc w:val="end"/>
            <w:rPr/>
          </w:pPr>
          <w:r>
            <w:rPr>
              <w:rFonts w:eastAsia="Arial" w:cs="Arial"/>
              <w:color w:val="666666"/>
              <w:sz w:val="16"/>
              <w:szCs w:val="16"/>
            </w:rPr>
            <w:t xml:space="preserve">Page </w:t>
          </w:r>
          <w:r>
            <w:rPr/>
            <w:fldChar w:fldCharType="begin"/>
          </w:r>
          <w:r>
            <w:rPr/>
            <w:instrText xml:space="preserve"> PAGE </w:instrText>
          </w:r>
          <w:r>
            <w:rPr/>
            <w:fldChar w:fldCharType="separate"/>
          </w:r>
          <w:r>
            <w:rPr/>
            <w:t>12</w:t>
          </w:r>
          <w:r>
            <w:rPr/>
            <w:fldChar w:fldCharType="end"/>
          </w:r>
          <w:r>
            <w:rPr>
              <w:rFonts w:eastAsia="Arial" w:cs="Arial"/>
              <w:color w:val="666666"/>
              <w:sz w:val="16"/>
              <w:szCs w:val="16"/>
            </w:rPr>
            <w:t xml:space="preserve"> of </w:t>
          </w:r>
          <w:r>
            <w:rPr/>
            <w:fldChar w:fldCharType="begin"/>
          </w:r>
          <w:r>
            <w:rPr/>
            <w:instrText xml:space="preserve"> NUMPAGES </w:instrText>
          </w:r>
          <w:r>
            <w:rPr/>
            <w:fldChar w:fldCharType="separate"/>
          </w:r>
          <w:r>
            <w:rPr/>
            <w:t>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80" w:type="dxa"/>
        <w:start w:w="108" w:type="dxa"/>
        <w:bottom w:w="0" w:type="dxa"/>
        <w:end w:w="108" w:type="dxa"/>
      </w:tblCellMar>
    </w:tblPr>
    <w:tblGrid>
      <w:gridCol w:w="4680"/>
      <w:gridCol w:w="4680"/>
    </w:tblGrid>
    <w:tr>
      <w:trPr/>
      <w:tc>
        <w:tcPr>
          <w:tcW w:w="4680" w:type="dxa"/>
          <w:tcBorders>
            <w:top w:val="single" w:sz="2" w:space="0" w:color="CCCCCC"/>
          </w:tcBorders>
        </w:tcPr>
        <w:p>
          <w:pPr>
            <w:pStyle w:val="Normal"/>
            <w:rPr/>
          </w:pPr>
          <w:r>
            <w:rPr>
              <w:rFonts w:eastAsia="Arial" w:cs="Arial"/>
              <w:color w:val="666666"/>
              <w:sz w:val="16"/>
              <w:szCs w:val="16"/>
            </w:rPr>
            <w:t>Confidential</w:t>
          </w:r>
        </w:p>
      </w:tc>
      <w:tc>
        <w:tcPr>
          <w:tcW w:w="4680" w:type="dxa"/>
          <w:tcBorders>
            <w:top w:val="single" w:sz="2" w:space="0" w:color="CCCCCC"/>
          </w:tcBorders>
        </w:tcPr>
        <w:p>
          <w:pPr>
            <w:pStyle w:val="Normal"/>
            <w:jc w:val="end"/>
            <w:rPr/>
          </w:pPr>
          <w:r>
            <w:rPr>
              <w:rFonts w:eastAsia="Arial" w:cs="Arial"/>
              <w:color w:val="666666"/>
              <w:sz w:val="16"/>
              <w:szCs w:val="16"/>
            </w:rPr>
            <w:t xml:space="preserve">Page </w:t>
          </w:r>
          <w:r>
            <w:rPr/>
            <w:fldChar w:fldCharType="begin"/>
          </w:r>
          <w:r>
            <w:rPr/>
            <w:instrText xml:space="preserve"> PAGE </w:instrText>
          </w:r>
          <w:r>
            <w:rPr/>
            <w:fldChar w:fldCharType="separate"/>
          </w:r>
          <w:r>
            <w:rPr/>
            <w:t>12</w:t>
          </w:r>
          <w:r>
            <w:rPr/>
            <w:fldChar w:fldCharType="end"/>
          </w:r>
          <w:r>
            <w:rPr>
              <w:rFonts w:eastAsia="Arial" w:cs="Arial"/>
              <w:color w:val="666666"/>
              <w:sz w:val="16"/>
              <w:szCs w:val="16"/>
            </w:rPr>
            <w:t xml:space="preserve"> of </w:t>
          </w:r>
          <w:r>
            <w:rPr/>
            <w:fldChar w:fldCharType="begin"/>
          </w:r>
          <w:r>
            <w:rPr/>
            <w:instrText xml:space="preserve"> NUMPAGES </w:instrText>
          </w:r>
          <w:r>
            <w:rPr/>
            <w:fldChar w:fldCharType="separate"/>
          </w:r>
          <w:r>
            <w:rPr/>
            <w:t>12</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997"/>
      <w:gridCol w:w="8363"/>
    </w:tblGrid>
    <w:tr>
      <w:trPr>
        <w:trHeight w:val="625" w:hRule="atLeast"/>
      </w:trPr>
      <w:tc>
        <w:tcPr>
          <w:tcW w:w="997" w:type="dxa"/>
          <w:tcBorders/>
          <w:vAlign w:val="center"/>
        </w:tcPr>
        <w:p>
          <w:pPr>
            <w:pStyle w:val="Normal"/>
            <w:rPr/>
          </w:pPr>
          <w:r>
            <w:rPr/>
            <w:drawing>
              <wp:inline distT="0" distB="0" distL="0" distR="0">
                <wp:extent cx="428625" cy="428625"/>
                <wp:effectExtent l="0" t="0" r="0" b="0"/>
                <wp:docPr id="1" name="logo" descr="Logo" title="Qu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itle="Qualia"/>
                        <pic:cNvPicPr>
                          <a:picLocks noChangeAspect="1" noChangeArrowheads="1"/>
                        </pic:cNvPicPr>
                      </pic:nvPicPr>
                      <pic:blipFill>
                        <a:blip r:embed="rId1"/>
                        <a:stretch>
                          <a:fillRect/>
                        </a:stretch>
                      </pic:blipFill>
                      <pic:spPr bwMode="auto">
                        <a:xfrm>
                          <a:off x="0" y="0"/>
                          <a:ext cx="428625" cy="428625"/>
                        </a:xfrm>
                        <a:prstGeom prst="rect">
                          <a:avLst/>
                        </a:prstGeom>
                        <a:noFill/>
                      </pic:spPr>
                    </pic:pic>
                  </a:graphicData>
                </a:graphic>
              </wp:inline>
            </w:drawing>
          </w:r>
        </w:p>
      </w:tc>
      <w:tc>
        <w:tcPr>
          <w:tcW w:w="8363" w:type="dxa"/>
          <w:tcBorders/>
          <w:vAlign w:val="center"/>
        </w:tcPr>
        <w:p>
          <w:pPr>
            <w:pStyle w:val="Normal"/>
            <w:jc w:val="end"/>
            <w:rPr/>
          </w:pPr>
          <w:r>
            <w:rPr>
              <w:rFonts w:eastAsia="Arial" w:cs="Arial"/>
              <w:b/>
              <w:bCs/>
              <w:color w:val="00A4AC"/>
              <w:sz w:val="28"/>
              <w:szCs w:val="28"/>
            </w:rPr>
            <w:t>QUALIA SOLUTIONS</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997"/>
      <w:gridCol w:w="8363"/>
    </w:tblGrid>
    <w:tr>
      <w:trPr>
        <w:trHeight w:val="625" w:hRule="atLeast"/>
      </w:trPr>
      <w:tc>
        <w:tcPr>
          <w:tcW w:w="997" w:type="dxa"/>
          <w:tcBorders/>
          <w:vAlign w:val="center"/>
        </w:tcPr>
        <w:p>
          <w:pPr>
            <w:pStyle w:val="Normal"/>
            <w:rPr/>
          </w:pPr>
          <w:r>
            <w:rPr/>
            <w:drawing>
              <wp:inline distT="0" distB="0" distL="0" distR="0">
                <wp:extent cx="428625" cy="428625"/>
                <wp:effectExtent l="0" t="0" r="0" b="0"/>
                <wp:docPr id="2" name="logo" descr="Logo" title="Qu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Logo" title="Qualia"/>
                        <pic:cNvPicPr>
                          <a:picLocks noChangeAspect="1" noChangeArrowheads="1"/>
                        </pic:cNvPicPr>
                      </pic:nvPicPr>
                      <pic:blipFill>
                        <a:blip r:embed="rId1"/>
                        <a:stretch>
                          <a:fillRect/>
                        </a:stretch>
                      </pic:blipFill>
                      <pic:spPr bwMode="auto">
                        <a:xfrm>
                          <a:off x="0" y="0"/>
                          <a:ext cx="428625" cy="428625"/>
                        </a:xfrm>
                        <a:prstGeom prst="rect">
                          <a:avLst/>
                        </a:prstGeom>
                        <a:noFill/>
                      </pic:spPr>
                    </pic:pic>
                  </a:graphicData>
                </a:graphic>
              </wp:inline>
            </w:drawing>
          </w:r>
        </w:p>
      </w:tc>
      <w:tc>
        <w:tcPr>
          <w:tcW w:w="8363" w:type="dxa"/>
          <w:tcBorders/>
          <w:vAlign w:val="center"/>
        </w:tcPr>
        <w:p>
          <w:pPr>
            <w:pStyle w:val="Normal"/>
            <w:jc w:val="end"/>
            <w:rPr/>
          </w:pPr>
          <w:r>
            <w:rPr>
              <w:rFonts w:eastAsia="Arial" w:cs="Arial"/>
              <w:b/>
              <w:bCs/>
              <w:color w:val="00A4AC"/>
              <w:sz w:val="28"/>
              <w:szCs w:val="28"/>
            </w:rPr>
            <w:t>QUALIA SOLUTIONS</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19"/>
    <w:lvlOverride w:ilvl="0">
      <w:startOverride w:val="1"/>
    </w:lvlOverride>
  </w:num>
  <w:num w:numId="39">
    <w:abstractNumId w:val="20"/>
    <w:lvlOverride w:ilvl="0">
      <w:startOverride w:val="1"/>
    </w:lvlOverride>
  </w:num>
  <w:num w:numId="40">
    <w:abstractNumId w:val="21"/>
    <w:lvlOverride w:ilvl="0">
      <w:startOverride w:val="1"/>
    </w:lvlOverride>
  </w:num>
  <w:num w:numId="41">
    <w:abstractNumId w:val="22"/>
    <w:lvlOverride w:ilvl="0">
      <w:startOverride w:val="1"/>
    </w:lvlOverride>
  </w:num>
  <w:num w:numId="42">
    <w:abstractNumId w:val="23"/>
    <w:lvlOverride w:ilvl="0">
      <w:startOverride w:val="1"/>
    </w:lvlOverride>
  </w:num>
  <w:num w:numId="43">
    <w:abstractNumId w:val="24"/>
    <w:lvlOverride w:ilvl="0">
      <w:startOverride w:val="1"/>
    </w:lvlOverride>
  </w:num>
  <w:num w:numId="44">
    <w:abstractNumId w:val="25"/>
    <w:lvlOverride w:ilvl="0">
      <w:startOverride w:val="1"/>
    </w:lvlOverride>
  </w:num>
  <w:num w:numId="45">
    <w:abstractNumId w:val="26"/>
    <w:lvlOverride w:ilvl="0">
      <w:startOverride w:val="1"/>
    </w:lvlOverride>
  </w:num>
  <w:num w:numId="46">
    <w:abstractNumId w:val="27"/>
    <w:lvlOverride w:ilvl="0">
      <w:startOverride w:val="1"/>
    </w:lvlOverride>
  </w:num>
  <w:num w:numId="47">
    <w:abstractNumId w:val="28"/>
    <w:lvlOverride w:ilvl="0">
      <w:startOverride w:val="1"/>
    </w:lvlOverride>
  </w:num>
  <w:num w:numId="48">
    <w:abstractNumId w:val="29"/>
    <w:lvlOverride w:ilvl="0">
      <w:startOverride w:val="1"/>
    </w:lvlOverride>
  </w:num>
  <w:num w:numId="49">
    <w:abstractNumId w:val="30"/>
    <w:lvlOverride w:ilvl="0">
      <w:startOverride w:val="1"/>
    </w:lvlOverride>
  </w:num>
  <w:num w:numId="50">
    <w:abstractNumId w:val="31"/>
    <w:lvlOverride w:ilvl="0">
      <w:startOverride w:val="1"/>
    </w:lvlOverride>
  </w:num>
  <w:num w:numId="51">
    <w:abstractNumId w:val="32"/>
    <w:lvlOverride w:ilvl="0">
      <w:startOverride w:val="1"/>
    </w:lvlOverride>
  </w:num>
  <w:num w:numId="52">
    <w:abstractNumId w:val="33"/>
    <w:lvlOverride w:ilvl="0">
      <w:startOverride w:val="1"/>
    </w:lvlOverride>
  </w:num>
  <w:num w:numId="53">
    <w:abstractNumId w:val="34"/>
    <w:lvlOverride w:ilvl="0">
      <w:startOverride w:val="1"/>
    </w:lvlOverride>
  </w:num>
  <w:num w:numId="54">
    <w:abstractNumId w:val="35"/>
    <w:lvlOverride w:ilvl="0">
      <w:startOverride w:val="1"/>
    </w:lvlOverride>
  </w:num>
  <w:num w:numId="55">
    <w:abstractNumId w:val="36"/>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12</Pages>
  <Words>2524</Words>
  <Characters>14681</Characters>
  <CharactersWithSpaces>16867</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2026-01-12T11:40:23Z</dcterms:created>
  <dc:creator>Un-named</dc:creator>
  <dc:description/>
  <dc:language>en-US</dc:language>
  <cp:lastModifiedBy/>
  <dcterms:modified xsi:type="dcterms:W3CDTF">2026-01-12T14:06:19Z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