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Bill Authenticity Review Policy</w:t>
      </w:r>
    </w:p>
    <w:p/>
    <w:p>
      <w:r>
        <w:rPr>
          <w:b/>
        </w:rPr>
        <w:t>Bill Format</w:t>
      </w:r>
    </w:p>
    <w:p>
      <w:r>
        <w:t>Every bill is a single invoice document laid out the same way: a 'Bill To' section (client name, address, email, phone), an invoice details section containing Invoice #, PO #, Invoice Date, Tax Registration #, Tax File #, and Commercial Registration #, followed by an itemized table (Item Name, Description, Price, Quantity, Total), and a totals section (Subtotal, Tax, Total). The value shown next to 'Tax:' in the totals section is a RATE, not a currency amount -- for example, a value of 0.14 means a 14% tax rate, not $0.14.</w:t>
      </w:r>
    </w:p>
    <w:p/>
    <w:p>
      <w:r>
        <w:rPr>
          <w:b/>
        </w:rPr>
        <w:t>Policy 1: Registration Field Check</w:t>
      </w:r>
    </w:p>
    <w:p>
      <w:r>
        <w:t>A bill must show a value for both the Tax Registration # field and the Commercial Registration # field. A field counts as missing if it is blank, empty, or not present on the document at all, whether or not its label is shown. A bill missing either field must be rejected outright as fake, with no path to approval under any circumstances.</w:t>
      </w:r>
    </w:p>
    <w:p/>
    <w:p>
      <w:r>
        <w:rPr>
          <w:b/>
        </w:rPr>
        <w:t>Policy 2: Arithmetic Verification</w:t>
      </w:r>
    </w:p>
    <w:p>
      <w:r>
        <w:t>For each line in the item table, Price multiplied by Quantity must equal that line's stated Total. The sum of every line's Total must equal the Subtotal. To check the final Total, first calculate the actual tax amount as Subtotal multiplied by the Tax rate (e.g. Subtotal x 0.14 for a 14% rate) -- do not add the rate itself to the Subtotal. Then confirm Subtotal plus this calculated tax amount equals the stated Total. A bill where any one of these does not reconcile must be rejected outright, with no path to approval under any circumstances.</w:t>
      </w:r>
    </w:p>
    <w:p/>
    <w:p>
      <w:r>
        <w:rPr>
          <w:b/>
        </w:rPr>
        <w:t>Policy 3: Valid Bills</w:t>
      </w:r>
    </w:p>
    <w:p>
      <w:r>
        <w:t>A bill is valid only if both the Tax Registration # and Commercial Registration # are present, AND every arithmetic check in Policy 2 reconciles exactly. Such a bill requires no further action.</w:t>
      </w:r>
    </w:p>
    <w:p/>
    <w:p>
      <w:r>
        <w:rPr>
          <w:b/>
        </w:rPr>
        <w:t>Policy 4: Fully Automatic Decisions</w:t>
      </w:r>
    </w:p>
    <w:p>
      <w:r>
        <w:t>Every bill in this process is decided immediately by these two checks alone, with no other step involved at any point. The result is always either valid or invalid.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