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Bill Authenticity Review Policy</w:t>
      </w:r>
    </w:p>
    <w:p/>
    <w:p>
      <w:r>
        <w:rPr>
          <w:b/>
        </w:rPr>
        <w:t>Bill Format</w:t>
      </w:r>
    </w:p>
    <w:p>
      <w:r>
        <w:t>Every bill is a single invoice document laid out the same way: a 'Bill To' section (client name, address, email, phone), an invoice details section containing Invoice #, PO #, Invoice Date, Tax Registration #, Tax File #, and Commercial Registration #, followed by an itemized table (Item Name, Description, Price, Quantity, Total), and a totals section (Subtotal, Tax, Total).</w:t>
      </w:r>
    </w:p>
    <w:p/>
    <w:p>
      <w:r>
        <w:rPr>
          <w:b/>
        </w:rPr>
        <w:t>Policy 1: Authenticity Determination</w:t>
      </w:r>
    </w:p>
    <w:p>
      <w:r>
        <w:t>A bill is REAL only if it shows a value for both the Tax Registration # field and the Commercial Registration # field. If either field is missing -- blank, left empty, or not present at all -- the bill must be classified as FAKE. This is the sole determining factor: no other field on the bill changes this classification.</w:t>
      </w:r>
    </w:p>
    <w:p/>
    <w:p>
      <w:r>
        <w:rPr>
          <w:b/>
        </w:rPr>
        <w:t>Policy 2: Human Auditor Confirmation</w:t>
      </w:r>
    </w:p>
    <w:p>
      <w:r>
        <w:t>Any bill classified as FAKE under Policy 1 must be routed to a human auditor for final confirmation before it is formally rejected. The human auditor reviews the bill directly and makes the final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