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Bill Authenticity Review Policy</w:t>
      </w:r>
    </w:p>
    <w:p>
      <w:pPr>
        <w:pStyle w:val="Heading1"/>
        <w:spacing w:after="120" w:before="240"/>
      </w:pPr>
      <w:r>
        <w:t xml:space="preserve">Bill Format</w:t>
      </w:r>
    </w:p>
    <w:p>
      <w:pPr>
        <w:spacing w:after="200"/>
      </w:pPr>
      <w:r>
        <w:rPr>
          <w:sz w:val="22"/>
          <w:szCs w:val="22"/>
        </w:rPr>
        <w:t xml:space="preserve">Every bill is a single invoice document laid out the same way: a 'Bill To' section (client name, address, email, phone), an invoice details section containing Invoice #, PO #, Invoice Date, Tax Registration #, Tax File #, and Commercial Registration #, followed by an itemized table (Item Name, Description, Price, Quantity, Total), and a totals section (Subtotal, Tax, Total).</w:t>
      </w:r>
    </w:p>
    <w:p>
      <w:pPr>
        <w:pStyle w:val="Heading1"/>
        <w:spacing w:after="120" w:before="240"/>
      </w:pPr>
      <w:r>
        <w:t xml:space="preserve">Policy 1: Authenticity Determination</w:t>
      </w:r>
    </w:p>
    <w:p>
      <w:pPr>
        <w:spacing w:after="200"/>
      </w:pPr>
      <w:r>
        <w:rPr>
          <w:sz w:val="22"/>
          <w:szCs w:val="22"/>
        </w:rPr>
        <w:t xml:space="preserve">A bill is VALID only if it shows a value for both the Tax Registration # field and the Commercial Registration # field. If either field is missing -- blank, left empty, or not present at all -- the bill must be classified as INVALID. This is the sole determining factor for the VALID/INVALID classification: no other field on the bill changes this classification. This classification is recorded automatically in every case -- being VALID or INVALID never by itself triggers human review.</w:t>
      </w:r>
    </w:p>
    <w:p>
      <w:pPr>
        <w:pStyle w:val="Heading1"/>
        <w:spacing w:after="120" w:before="240"/>
      </w:pPr>
      <w:r>
        <w:t xml:space="preserve">Policy 2: Financial Accuracy</w:t>
      </w:r>
    </w:p>
    <w:p>
      <w:pPr>
        <w:spacing w:after="200"/>
      </w:pPr>
      <w:r>
        <w:rPr>
          <w:sz w:val="22"/>
          <w:szCs w:val="22"/>
        </w:rPr>
        <w:t xml:space="preserve">Independently of the VALID/INVALID classification, every bill's arithmetic must be verified: each line item's Price multiplied by its Quantity must equal that line's Total; the sum of every line item's Total must equal the Subtotal; and the Subtotal plus the Tax must equal the final Total. A bill where every one of these checks passes is CONSISTENT. A bill where any single check fails is INCONSISTENT and must be flagged for human review as a financial discrepancy, even if the bill was classified as VALID under Policy 1.</w:t>
      </w:r>
    </w:p>
    <w:p>
      <w:pPr>
        <w:pStyle w:val="Heading1"/>
        <w:spacing w:after="120" w:before="240"/>
      </w:pPr>
      <w:r>
        <w:t xml:space="preserve">Policy 3: Human Auditor Confirmation</w:t>
      </w:r>
    </w:p>
    <w:p>
      <w:pPr>
        <w:spacing w:after="200"/>
      </w:pPr>
      <w:r>
        <w:rPr>
          <w:sz w:val="22"/>
          <w:szCs w:val="22"/>
        </w:rPr>
        <w:t xml:space="preserve">Only bills flagged as INCONSISTENT under Policy 2 are routed to a human auditor. The VALID/INVALID authenticity classification from Policy 1 is never, by itself, a reason to involve a human -- it is always recorded automatically. When a bill is routed to a human auditor for an amount discrepancy, they review the bill directly and make the final call on whether the discrepancy is acceptable or must be corrected.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2026-09-07T11:42:03.691Z</dcterms:created>
  <dcterms:modified xsi:type="dcterms:W3CDTF">2026-09-07T11:42:03.701Z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