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Purchasing &amp; Invoice Review Policy</w:t>
      </w:r>
    </w:p>
    <w:p>
      <w:pPr>
        <w:pStyle w:val="Heading1"/>
        <w:spacing w:after="120" w:before="240"/>
      </w:pPr>
      <w:r>
        <w:t xml:space="preserve">Policy 1: Quantity and Price Variance Thresholds</w:t>
      </w:r>
    </w:p>
    <w:p>
      <w:pPr>
        <w:spacing w:after="200"/>
      </w:pPr>
      <w:r>
        <w:rPr>
          <w:sz w:val="22"/>
          <w:szCs w:val="22"/>
        </w:rPr>
        <w:t xml:space="preserve">A quantity variance between the amount ordered and the amount delivered of up to 2% is acceptable without escalation. Variances between 2% and 5% require supervisor sign-off before payment is released. Any variance above 5%, or any unit price difference greater than $0.01 from the agreed purchase order price, must be escalated to the accounts payable manager.</w:t>
      </w:r>
    </w:p>
    <w:p>
      <w:pPr>
        <w:pStyle w:val="Heading1"/>
        <w:spacing w:after="120" w:before="240"/>
      </w:pPr>
      <w:r>
        <w:t xml:space="preserve">Policy 2: Tax and Total Verification</w:t>
      </w:r>
    </w:p>
    <w:p>
      <w:pPr>
        <w:spacing w:after="200"/>
      </w:pPr>
      <w:r>
        <w:rPr>
          <w:sz w:val="22"/>
          <w:szCs w:val="22"/>
        </w:rPr>
        <w:t xml:space="preserve">The tax applied to an invoice must match the required rate for the delivery region, currently 14% for all domestic deliveries. The calculated subtotal, tax, and grand total must each be independently verifiable from the line-item quantities and unit price. Any invoice where the stated total does not match the recalculated total must be flagged for manual review.</w:t>
      </w:r>
    </w:p>
    <w:p>
      <w:pPr>
        <w:pStyle w:val="Heading1"/>
        <w:spacing w:after="120" w:before="240"/>
      </w:pPr>
      <w:r>
        <w:t xml:space="preserve">Policy 3: Supporting Documentation</w:t>
      </w:r>
    </w:p>
    <w:p>
      <w:pPr>
        <w:spacing w:after="200"/>
      </w:pPr>
      <w:r>
        <w:rPr>
          <w:sz w:val="22"/>
          <w:szCs w:val="22"/>
        </w:rPr>
        <w:t xml:space="preserve">Every invoice must reference a valid purchase order number. An invoice with no matching purchase order on file must be rejected outright and returned to the vendor. Invoices missing a purchase order reference cannot be approved under any circumstances, regardless of amount.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2026-08-30T19:50:56.742Z</dcterms:created>
  <dcterms:modified xsi:type="dcterms:W3CDTF">2026-08-30T19:50:56.751Z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