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3"/>
          <w:sz w:val="32"/>
        </w:rPr>
        <w:t>Purbachal Construction Ltd</w:t>
      </w:r>
    </w:p>
    <w:p>
      <w:pPr>
        <w:jc w:val="center"/>
      </w:pPr>
      <w:r>
        <w:rPr>
          <w:color w:val="5A636B"/>
          <w:sz w:val="24"/>
        </w:rPr>
        <w:t>Site Instruction SI-014</w:t>
      </w:r>
    </w:p>
    <w:p/>
    <w:tbl>
      <w:tblPr>
        <w:tblStyle w:val="LightGrid-Accent1"/>
        <w:tblW w:type="auto" w:w="0"/>
        <w:tblLook w:firstColumn="1" w:firstRow="1" w:lastColumn="0" w:lastRow="0" w:noHBand="0" w:noVBand="1" w:val="04A0"/>
      </w:tblPr>
      <w:tblGrid>
        <w:gridCol w:w="4320"/>
        <w:gridCol w:w="4320"/>
      </w:tblGrid>
      <w:tr>
        <w:tc>
          <w:tcPr>
            <w:tcW w:type="dxa" w:w="4320"/>
          </w:tcPr>
          <w:p>
            <w:r>
              <w:t>Project</w:t>
            </w:r>
          </w:p>
        </w:tc>
        <w:tc>
          <w:tcPr>
            <w:tcW w:type="dxa" w:w="4320"/>
          </w:tcPr>
          <w:p>
            <w:r>
              <w:t>Padma View Specialised Hospital Extension</w:t>
            </w:r>
          </w:p>
        </w:tc>
      </w:tr>
      <w:tr>
        <w:tc>
          <w:tcPr>
            <w:tcW w:type="dxa" w:w="4320"/>
          </w:tcPr>
          <w:p>
            <w:r>
              <w:t>Project code</w:t>
            </w:r>
          </w:p>
        </w:tc>
        <w:tc>
          <w:tcPr>
            <w:tcW w:type="dxa" w:w="4320"/>
          </w:tcPr>
          <w:p>
            <w:r>
              <w:t>PVH-2026</w:t>
            </w:r>
          </w:p>
        </w:tc>
      </w:tr>
      <w:tr>
        <w:tc>
          <w:tcPr>
            <w:tcW w:type="dxa" w:w="4320"/>
          </w:tcPr>
          <w:p>
            <w:r>
              <w:t>Date</w:t>
            </w:r>
          </w:p>
        </w:tc>
        <w:tc>
          <w:tcPr>
            <w:tcW w:type="dxa" w:w="4320"/>
          </w:tcPr>
          <w:p>
            <w:r>
              <w:t>14 September 2026</w:t>
            </w:r>
          </w:p>
        </w:tc>
      </w:tr>
      <w:tr>
        <w:tc>
          <w:tcPr>
            <w:tcW w:type="dxa" w:w="4320"/>
          </w:tcPr>
          <w:p>
            <w:r>
              <w:t>Issued by</w:t>
            </w:r>
          </w:p>
        </w:tc>
        <w:tc>
          <w:tcPr>
            <w:tcW w:type="dxa" w:w="4320"/>
          </w:tcPr>
          <w:p>
            <w:r>
              <w:t>Imtiaz Rahman, Lead Architect</w:t>
            </w:r>
          </w:p>
        </w:tc>
      </w:tr>
      <w:tr>
        <w:tc>
          <w:tcPr>
            <w:tcW w:type="dxa" w:w="4320"/>
          </w:tcPr>
          <w:p>
            <w:r>
              <w:t>To</w:t>
            </w:r>
          </w:p>
        </w:tc>
        <w:tc>
          <w:tcPr>
            <w:tcW w:type="dxa" w:w="4320"/>
          </w:tcPr>
          <w:p>
            <w:r>
              <w:t>Md. Rafiqul Islam, Project Director</w:t>
            </w:r>
          </w:p>
        </w:tc>
      </w:tr>
      <w:tr>
        <w:tc>
          <w:tcPr>
            <w:tcW w:type="dxa" w:w="4320"/>
          </w:tcPr>
          <w:p>
            <w:r>
              <w:t>Related drawings</w:t>
            </w:r>
          </w:p>
        </w:tc>
        <w:tc>
          <w:tcPr>
            <w:tcW w:type="dxa" w:w="4320"/>
          </w:tcPr>
          <w:p>
            <w:r>
              <w:t>A-201 Rev D, A-420 Rev B</w:t>
            </w:r>
          </w:p>
        </w:tc>
      </w:tr>
    </w:tbl>
    <w:p>
      <w:pPr>
        <w:pStyle w:val="Heading1"/>
      </w:pPr>
      <w:r>
        <w:t>1  Instruction</w:t>
      </w:r>
    </w:p>
    <w:p>
      <w:r>
        <w:t>The emergency department entrance on the ground floor has been relocated from grid C to grid D, as shown on drawing A-201 Revision D. The Contractor shall work to the revised drawing and withdraw Revision C from site.</w:t>
      </w:r>
    </w:p>
    <w:p>
      <w:pPr>
        <w:pStyle w:val="Heading1"/>
      </w:pPr>
      <w:r>
        <w:t>2  Reason</w:t>
      </w:r>
    </w:p>
    <w:p>
      <w:r>
        <w:t>The Fire Service and Civil Defence Directorate review requires direct access from the ambulance drop-off to the emergency department.</w:t>
      </w:r>
    </w:p>
    <w:p>
      <w:pPr>
        <w:pStyle w:val="Heading1"/>
      </w:pPr>
      <w:r>
        <w:t>3  Cost and time impact</w:t>
      </w:r>
    </w:p>
    <w:p>
      <w:r>
        <w:t>The Contractor shall confirm in writing, within 7 working days, the likely cost and time impact of this instruction. A preliminary assessment suggests an additional ৳ 8,50,000 on internal masonry.</w:t>
      </w:r>
    </w:p>
    <w:p>
      <w:pPr>
        <w:pStyle w:val="Heading1"/>
      </w:pPr>
      <w:r>
        <w:t>4  Glazing sample</w:t>
      </w:r>
    </w:p>
    <w:p>
      <w:r>
        <w:t>The aluminium glazing sample panel has still not been submitted for approval. Because manufacture takes 12 weeks from written approval, this now sits on the project's critical path. Please treat it as a priority.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