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left"/>
      </w:pPr>
      <w:r>
        <w:rPr>
          <w:b/>
          <w:bCs/>
          <w:color w:val="93386C"/>
          <w:sz w:val="48"/>
          <w:szCs w:val="48"/>
        </w:rPr>
        <w:t xml:space="preserve">MILLENNIUM DIGITAL</w:t>
      </w:r>
    </w:p>
    <w:p>
      <w:pPr>
        <w:spacing w:after="100" w:before="100"/>
      </w:pPr>
      <w:r>
        <w:rPr>
          <w:color w:val="38373A"/>
          <w:sz w:val="30"/>
          <w:szCs w:val="30"/>
        </w:rPr>
        <w:t xml:space="preserve">End-to-End Application Report</w:t>
      </w:r>
    </w:p>
    <w:p>
      <w:pPr>
        <w:spacing w:after="400"/>
      </w:pPr>
      <w:r>
        <w:rPr>
          <w:i/>
          <w:iCs/>
          <w:color w:val="666568"/>
          <w:sz w:val="21"/>
          <w:szCs w:val="21"/>
        </w:rPr>
        <w:t xml:space="preserve">A page-by-page, system-by-system read of the current prototype — what exists, how it works, and what is real data vs. simulated/mocked behavior.</w:t>
      </w:r>
    </w:p>
    <w:p>
      <w:pPr>
        <w:spacing w:after="40"/>
      </w:pPr>
      <w:r>
        <w:rPr>
          <w:color w:val="666568"/>
          <w:sz w:val="19"/>
          <w:szCs w:val="19"/>
        </w:rPr>
        <w:t xml:space="preserve">Prepared: August 9, 2026</w:t>
      </w:r>
    </w:p>
    <w:p>
      <w:pPr>
        <w:spacing w:after="600"/>
      </w:pPr>
      <w:r>
        <w:rPr>
          <w:color w:val="666568"/>
          <w:sz w:val="19"/>
          <w:szCs w:val="19"/>
        </w:rPr>
        <w:t xml:space="preserve">Scope: full codebase — 62 buyer/admin/auth routes, 40 service/feature modules, 39 shared components, 138-part live product catalog.</w:t>
      </w:r>
    </w:p>
    <w:p>
      <w:r>
        <w:br w:type="page"/>
      </w:r>
    </w:p>
    <w:p>
      <w:pPr>
        <w:pStyle w:val="Heading1"/>
        <w:spacing w:after="200" w:before="400"/>
      </w:pPr>
      <w:r>
        <w:t xml:space="preserve">1. Executive Summary</w:t>
      </w:r>
    </w:p>
    <w:p>
      <w:pPr>
        <w:spacing w:after="160" w:line="300"/>
      </w:pPr>
      <w:r>
        <w:rPr>
          <w:color w:val="38373A"/>
          <w:sz w:val="21"/>
          <w:szCs w:val="21"/>
        </w:rPr>
        <w:t xml:space="preserve">Millennium Digital is a cross-platform B2B electronics/semiconductor commerce prototype built with React Native, TypeScript, Expo Router, and React Native Web, targeting Desktop Web, Tablet, Mobile Web, Android, and iOS from a single codebase. The application is positioned as an engineering procurement platform rather than a consumer storefront: its information architecture, workflows, and visual language are built around how engineers and buyers actually source components — parametric technical filtering, BOM-driven quoting, RFQ and governed pricing, and a Maker-Checker governance model layered over supplier and product publishing.</w:t>
      </w:r>
    </w:p>
    <w:p>
      <w:pPr>
        <w:spacing w:after="160" w:line="300"/>
      </w:pPr>
      <w:r>
        <w:rPr>
          <w:color w:val="38373A"/>
          <w:sz w:val="21"/>
          <w:szCs w:val="21"/>
        </w:rPr>
        <w:t xml:space="preserve">The prototype is built on 138 real products (drawn from assets/data/products.json, a genuine Mouser-sourced dataset spanning 12 manufacturers and 7 categories), a full buyer-side commerce flow from discovery through checkout and order tracking, a supplier/admin console with governance-gated product publishing, and four distinct engineering workflows (AI-assisted natural-language search, BOM upload and component matching, RFQ and quote management, and a structured Design Request intake) that go beyond a standard browse-cart-checkout flow.</w:t>
      </w:r>
    </w:p>
    <w:p>
      <w:pPr>
        <w:spacing w:after="160" w:line="300"/>
      </w:pPr>
      <w:r>
        <w:rPr>
          <w:color w:val="38373A"/>
          <w:sz w:val="21"/>
          <w:szCs w:val="21"/>
        </w:rPr>
        <w:t xml:space="preserve">Every simulated capability in the app — AI parsing, BOM matching, pricing rules, ERP/logistics sync — is explicitly labeled as prototype/demo in-code and, where user-facing, via a visible "Target"/prototype badge, so the report below distinguishes clearly between what is live and working today versus what represents target production architecture. Section 12 consolidates this into a single honesty ledger.</w:t>
      </w:r>
    </w:p>
    <w:p>
      <w:pPr>
        <w:pStyle w:val="Heading1"/>
        <w:spacing w:after="200" w:before="400"/>
      </w:pPr>
      <w:r>
        <w:t xml:space="preserve">2. Technology Stack &amp; Architecture</w:t>
      </w:r>
    </w:p>
    <w:p>
      <w:pPr>
        <w:pStyle w:val="Heading2"/>
        <w:spacing w:after="150" w:before="300"/>
      </w:pPr>
      <w:r>
        <w:t xml:space="preserve">2.1 Core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93386C" w:color="auto" w:val="clear"/>
            <w:tcMar>
              <w:top w:type="dxa" w:w="80"/>
              <w:left w:type="dxa" w:w="100"/>
              <w:bottom w:type="dxa" w:w="80"/>
              <w:right w:type="dxa" w:w="100"/>
            </w:tcMar>
          </w:tcPr>
          <w:p>
            <w:r>
              <w:rPr>
                <w:b/>
                <w:bCs/>
                <w:color w:val="FFFFFF"/>
                <w:sz w:val="19"/>
                <w:szCs w:val="19"/>
              </w:rPr>
              <w:t xml:space="preserve">Layer</w:t>
            </w:r>
          </w:p>
        </w:tc>
        <w:tc>
          <w:tcPr>
            <w:tcW w:type="dxa" w:w="6200"/>
            <w:shd w:fill="93386C" w:color="auto" w:val="clear"/>
            <w:tcMar>
              <w:top w:type="dxa" w:w="80"/>
              <w:left w:type="dxa" w:w="100"/>
              <w:bottom w:type="dxa" w:w="80"/>
              <w:right w:type="dxa" w:w="100"/>
            </w:tcMar>
          </w:tcPr>
          <w:p>
            <w:r>
              <w:rPr>
                <w:b/>
                <w:bCs/>
                <w:color w:val="FFFFFF"/>
                <w:sz w:val="19"/>
                <w:szCs w:val="19"/>
              </w:rPr>
              <w:t xml:space="preserve">Choice</w:t>
            </w:r>
          </w:p>
        </w:tc>
      </w:tr>
      <w:tr>
        <w:tc>
          <w:tcPr>
            <w:tcW w:type="dxa" w:w="3200"/>
            <w:tcMar>
              <w:top w:type="dxa" w:w="70"/>
              <w:left w:type="dxa" w:w="100"/>
              <w:bottom w:type="dxa" w:w="70"/>
              <w:right w:type="dxa" w:w="100"/>
            </w:tcMar>
          </w:tcPr>
          <w:p>
            <w:r>
              <w:rPr>
                <w:color w:val="38373A"/>
                <w:sz w:val="19"/>
                <w:szCs w:val="19"/>
              </w:rPr>
              <w:t xml:space="preserve">Framework</w:t>
            </w:r>
          </w:p>
        </w:tc>
        <w:tc>
          <w:tcPr>
            <w:tcW w:type="dxa" w:w="6200"/>
            <w:tcMar>
              <w:top w:type="dxa" w:w="70"/>
              <w:left w:type="dxa" w:w="100"/>
              <w:bottom w:type="dxa" w:w="70"/>
              <w:right w:type="dxa" w:w="100"/>
            </w:tcMar>
          </w:tcPr>
          <w:p>
            <w:r>
              <w:rPr>
                <w:color w:val="38373A"/>
                <w:sz w:val="19"/>
                <w:szCs w:val="19"/>
              </w:rPr>
              <w:t xml:space="preserve">React Native 0.86 + React 19, via Expo SDK 57</w:t>
            </w:r>
          </w:p>
        </w:tc>
      </w:tr>
      <w:tr>
        <w:tc>
          <w:tcPr>
            <w:tcW w:type="dxa" w:w="3200"/>
            <w:tcMar>
              <w:top w:type="dxa" w:w="70"/>
              <w:left w:type="dxa" w:w="100"/>
              <w:bottom w:type="dxa" w:w="70"/>
              <w:right w:type="dxa" w:w="100"/>
            </w:tcMar>
          </w:tcPr>
          <w:p>
            <w:r>
              <w:rPr>
                <w:color w:val="38373A"/>
                <w:sz w:val="19"/>
                <w:szCs w:val="19"/>
              </w:rPr>
              <w:t xml:space="preserve">Routing</w:t>
            </w:r>
          </w:p>
        </w:tc>
        <w:tc>
          <w:tcPr>
            <w:tcW w:type="dxa" w:w="6200"/>
            <w:tcMar>
              <w:top w:type="dxa" w:w="70"/>
              <w:left w:type="dxa" w:w="100"/>
              <w:bottom w:type="dxa" w:w="70"/>
              <w:right w:type="dxa" w:w="100"/>
            </w:tcMar>
          </w:tcPr>
          <w:p>
            <w:r>
              <w:rPr>
                <w:color w:val="38373A"/>
                <w:sz w:val="19"/>
                <w:szCs w:val="19"/>
              </w:rPr>
              <w:t xml:space="preserve">Expo Router 57 (file-based routing, three route groups: (buyer), (admin), (auth))</w:t>
            </w:r>
          </w:p>
        </w:tc>
      </w:tr>
      <w:tr>
        <w:tc>
          <w:tcPr>
            <w:tcW w:type="dxa" w:w="3200"/>
            <w:tcMar>
              <w:top w:type="dxa" w:w="70"/>
              <w:left w:type="dxa" w:w="100"/>
              <w:bottom w:type="dxa" w:w="70"/>
              <w:right w:type="dxa" w:w="100"/>
            </w:tcMar>
          </w:tcPr>
          <w:p>
            <w:r>
              <w:rPr>
                <w:color w:val="38373A"/>
                <w:sz w:val="19"/>
                <w:szCs w:val="19"/>
              </w:rPr>
              <w:t xml:space="preserve">Web target</w:t>
            </w:r>
          </w:p>
        </w:tc>
        <w:tc>
          <w:tcPr>
            <w:tcW w:type="dxa" w:w="6200"/>
            <w:tcMar>
              <w:top w:type="dxa" w:w="70"/>
              <w:left w:type="dxa" w:w="100"/>
              <w:bottom w:type="dxa" w:w="70"/>
              <w:right w:type="dxa" w:w="100"/>
            </w:tcMar>
          </w:tcPr>
          <w:p>
            <w:r>
              <w:rPr>
                <w:color w:val="38373A"/>
                <w:sz w:val="19"/>
                <w:szCs w:val="19"/>
              </w:rPr>
              <w:t xml:space="preserve">react-native-web 0.21 — same component tree renders to DOM for desktop/tablet/mobile web</w:t>
            </w:r>
          </w:p>
        </w:tc>
      </w:tr>
      <w:tr>
        <w:tc>
          <w:tcPr>
            <w:tcW w:type="dxa" w:w="3200"/>
            <w:tcMar>
              <w:top w:type="dxa" w:w="70"/>
              <w:left w:type="dxa" w:w="100"/>
              <w:bottom w:type="dxa" w:w="70"/>
              <w:right w:type="dxa" w:w="100"/>
            </w:tcMar>
          </w:tcPr>
          <w:p>
            <w:r>
              <w:rPr>
                <w:color w:val="38373A"/>
                <w:sz w:val="19"/>
                <w:szCs w:val="19"/>
              </w:rPr>
              <w:t xml:space="preserve">Language</w:t>
            </w:r>
          </w:p>
        </w:tc>
        <w:tc>
          <w:tcPr>
            <w:tcW w:type="dxa" w:w="6200"/>
            <w:tcMar>
              <w:top w:type="dxa" w:w="70"/>
              <w:left w:type="dxa" w:w="100"/>
              <w:bottom w:type="dxa" w:w="70"/>
              <w:right w:type="dxa" w:w="100"/>
            </w:tcMar>
          </w:tcPr>
          <w:p>
            <w:r>
              <w:rPr>
                <w:color w:val="38373A"/>
                <w:sz w:val="19"/>
                <w:szCs w:val="19"/>
              </w:rPr>
              <w:t xml:space="preserve">TypeScript ~6.0, strict mode</w:t>
            </w:r>
          </w:p>
        </w:tc>
      </w:tr>
      <w:tr>
        <w:tc>
          <w:tcPr>
            <w:tcW w:type="dxa" w:w="3200"/>
            <w:tcMar>
              <w:top w:type="dxa" w:w="70"/>
              <w:left w:type="dxa" w:w="100"/>
              <w:bottom w:type="dxa" w:w="70"/>
              <w:right w:type="dxa" w:w="100"/>
            </w:tcMar>
          </w:tcPr>
          <w:p>
            <w:r>
              <w:rPr>
                <w:color w:val="38373A"/>
                <w:sz w:val="19"/>
                <w:szCs w:val="19"/>
              </w:rPr>
              <w:t xml:space="preserve">Server-state</w:t>
            </w:r>
          </w:p>
        </w:tc>
        <w:tc>
          <w:tcPr>
            <w:tcW w:type="dxa" w:w="6200"/>
            <w:tcMar>
              <w:top w:type="dxa" w:w="70"/>
              <w:left w:type="dxa" w:w="100"/>
              <w:bottom w:type="dxa" w:w="70"/>
              <w:right w:type="dxa" w:w="100"/>
            </w:tcMar>
          </w:tcPr>
          <w:p>
            <w:r>
              <w:rPr>
                <w:color w:val="38373A"/>
                <w:sz w:val="19"/>
                <w:szCs w:val="19"/>
              </w:rPr>
              <w:t xml:space="preserve">@tanstack/react-query 5 — every "service" call is wrapped in a query/mutation hook</w:t>
            </w:r>
          </w:p>
        </w:tc>
      </w:tr>
      <w:tr>
        <w:tc>
          <w:tcPr>
            <w:tcW w:type="dxa" w:w="3200"/>
            <w:tcMar>
              <w:top w:type="dxa" w:w="70"/>
              <w:left w:type="dxa" w:w="100"/>
              <w:bottom w:type="dxa" w:w="70"/>
              <w:right w:type="dxa" w:w="100"/>
            </w:tcMar>
          </w:tcPr>
          <w:p>
            <w:r>
              <w:rPr>
                <w:color w:val="38373A"/>
                <w:sz w:val="19"/>
                <w:szCs w:val="19"/>
              </w:rPr>
              <w:t xml:space="preserve">Client-state</w:t>
            </w:r>
          </w:p>
        </w:tc>
        <w:tc>
          <w:tcPr>
            <w:tcW w:type="dxa" w:w="6200"/>
            <w:tcMar>
              <w:top w:type="dxa" w:w="70"/>
              <w:left w:type="dxa" w:w="100"/>
              <w:bottom w:type="dxa" w:w="70"/>
              <w:right w:type="dxa" w:w="100"/>
            </w:tcMar>
          </w:tcPr>
          <w:p>
            <w:r>
              <w:rPr>
                <w:color w:val="38373A"/>
                <w:sz w:val="19"/>
                <w:szCs w:val="19"/>
              </w:rPr>
              <w:t xml:space="preserve">zustand 5 — 14 stores (auth, cart, checkout, addresses, wishlist, compare, BOM workflow, governance, recently-viewed, search, catalog meta, notifications, welcome)</w:t>
            </w:r>
          </w:p>
        </w:tc>
      </w:tr>
      <w:tr>
        <w:tc>
          <w:tcPr>
            <w:tcW w:type="dxa" w:w="3200"/>
            <w:tcMar>
              <w:top w:type="dxa" w:w="70"/>
              <w:left w:type="dxa" w:w="100"/>
              <w:bottom w:type="dxa" w:w="70"/>
              <w:right w:type="dxa" w:w="100"/>
            </w:tcMar>
          </w:tcPr>
          <w:p>
            <w:r>
              <w:rPr>
                <w:color w:val="38373A"/>
                <w:sz w:val="19"/>
                <w:szCs w:val="19"/>
              </w:rPr>
              <w:t xml:space="preserve">Persistence</w:t>
            </w:r>
          </w:p>
        </w:tc>
        <w:tc>
          <w:tcPr>
            <w:tcW w:type="dxa" w:w="6200"/>
            <w:tcMar>
              <w:top w:type="dxa" w:w="70"/>
              <w:left w:type="dxa" w:w="100"/>
              <w:bottom w:type="dxa" w:w="70"/>
              <w:right w:type="dxa" w:w="100"/>
            </w:tcMar>
          </w:tcPr>
          <w:p>
            <w:r>
              <w:rPr>
                <w:color w:val="38373A"/>
                <w:sz w:val="19"/>
                <w:szCs w:val="19"/>
              </w:rPr>
              <w:t xml:space="preserve">@react-native-async-storage/async-storage (zustand persist middleware)</w:t>
            </w:r>
          </w:p>
        </w:tc>
      </w:tr>
      <w:tr>
        <w:tc>
          <w:tcPr>
            <w:tcW w:type="dxa" w:w="3200"/>
            <w:tcMar>
              <w:top w:type="dxa" w:w="70"/>
              <w:left w:type="dxa" w:w="100"/>
              <w:bottom w:type="dxa" w:w="70"/>
              <w:right w:type="dxa" w:w="100"/>
            </w:tcMar>
          </w:tcPr>
          <w:p>
            <w:r>
              <w:rPr>
                <w:color w:val="38373A"/>
                <w:sz w:val="19"/>
                <w:szCs w:val="19"/>
              </w:rPr>
              <w:t xml:space="preserve">Images/icons</w:t>
            </w:r>
          </w:p>
        </w:tc>
        <w:tc>
          <w:tcPr>
            <w:tcW w:type="dxa" w:w="6200"/>
            <w:tcMar>
              <w:top w:type="dxa" w:w="70"/>
              <w:left w:type="dxa" w:w="100"/>
              <w:bottom w:type="dxa" w:w="70"/>
              <w:right w:type="dxa" w:w="100"/>
            </w:tcMar>
          </w:tcPr>
          <w:p>
            <w:r>
              <w:rPr>
                <w:color w:val="38373A"/>
                <w:sz w:val="19"/>
                <w:szCs w:val="19"/>
              </w:rPr>
              <w:t xml:space="preserve">expo-image, @expo/vector-icons (Ionicons), react-native-svg for hand-built icons (no icon-font dependency)</w:t>
            </w:r>
          </w:p>
        </w:tc>
      </w:tr>
      <w:tr>
        <w:tc>
          <w:tcPr>
            <w:tcW w:type="dxa" w:w="3200"/>
            <w:tcMar>
              <w:top w:type="dxa" w:w="70"/>
              <w:left w:type="dxa" w:w="100"/>
              <w:bottom w:type="dxa" w:w="70"/>
              <w:right w:type="dxa" w:w="100"/>
            </w:tcMar>
          </w:tcPr>
          <w:p>
            <w:r>
              <w:rPr>
                <w:color w:val="38373A"/>
                <w:sz w:val="19"/>
                <w:szCs w:val="19"/>
              </w:rPr>
              <w:t xml:space="preserve">Dependencies</w:t>
            </w:r>
          </w:p>
        </w:tc>
        <w:tc>
          <w:tcPr>
            <w:tcW w:type="dxa" w:w="6200"/>
            <w:tcMar>
              <w:top w:type="dxa" w:w="70"/>
              <w:left w:type="dxa" w:w="100"/>
              <w:bottom w:type="dxa" w:w="70"/>
              <w:right w:type="dxa" w:w="100"/>
            </w:tcMar>
          </w:tcPr>
          <w:p>
            <w:r>
              <w:rPr>
                <w:color w:val="38373A"/>
                <w:sz w:val="19"/>
                <w:szCs w:val="19"/>
              </w:rPr>
              <w:t xml:space="preserve">Deliberately minimal — no UI kit, no CSV/XLSX parser, no chart library; every interaction (file picking, CSV export, image zoom, sticky positioning) is built on RN/RN-Web primitives</w:t>
            </w:r>
          </w:p>
        </w:tc>
      </w:tr>
    </w:tbl>
    <w:p>
      <w:pPr>
        <w:pStyle w:val="Heading2"/>
        <w:spacing w:after="150" w:before="300"/>
      </w:pPr>
      <w:r>
        <w:t xml:space="preserve">2.2 Layering</w:t>
      </w:r>
    </w:p>
    <w:p>
      <w:pPr>
        <w:spacing w:after="160" w:line="300"/>
      </w:pPr>
      <w:r>
        <w:rPr>
          <w:color w:val="38373A"/>
          <w:sz w:val="21"/>
          <w:szCs w:val="21"/>
        </w:rPr>
        <w:t xml:space="preserve">The codebase is organized as a strict UI → hooks → service → repository chain, matching the "no business logic buried in components" architectural rule set out for this project:</w:t>
      </w:r>
    </w:p>
    <w:p>
      <w:pPr>
        <w:pStyle w:val="ListParagraph"/>
        <w:numPr>
          <w:ilvl w:val="0"/>
          <w:numId w:val="2"/>
        </w:numPr>
        <w:spacing w:after="100" w:line="290"/>
      </w:pPr>
      <w:r>
        <w:rPr>
          <w:color w:val="38373A"/>
          <w:sz w:val="21"/>
          <w:szCs w:val="21"/>
        </w:rPr>
        <w:t xml:space="preserve">src/features/*  — one folder per domain (products, cart, orders, checkout, auth, admin, ai, bom, rfq, pricing, governance, designRequests, sellerOnboarding, customers, manufacturers, categories). Each exposes a service.ts (business logic, currently mock/local), hooks.ts (React Query wrappers), and an index.ts barrel.</w:t>
      </w:r>
    </w:p>
    <w:p>
      <w:pPr>
        <w:pStyle w:val="ListParagraph"/>
        <w:numPr>
          <w:ilvl w:val="0"/>
          <w:numId w:val="2"/>
        </w:numPr>
        <w:spacing w:after="100" w:line="290"/>
      </w:pPr>
      <w:r>
        <w:rPr>
          <w:color w:val="38373A"/>
          <w:sz w:val="21"/>
          <w:szCs w:val="21"/>
        </w:rPr>
        <w:t xml:space="preserve">src/features/products/repository.ts is the single seam between the app and assets/data/products.json — every other module reads products through service functions, never the JSON file directly.</w:t>
      </w:r>
    </w:p>
    <w:p>
      <w:pPr>
        <w:pStyle w:val="ListParagraph"/>
        <w:numPr>
          <w:ilvl w:val="0"/>
          <w:numId w:val="2"/>
        </w:numPr>
        <w:spacing w:after="100" w:line="290"/>
      </w:pPr>
      <w:r>
        <w:rPr>
          <w:color w:val="38373A"/>
          <w:sz w:val="21"/>
          <w:szCs w:val="21"/>
        </w:rPr>
        <w:t xml:space="preserve">src/state/*  — 14 zustand stores hold only client-side UI/session state (cart contents, checkout selections, auth session, wishlist, compare list, BOM workflow-in-progress, governance drafts).</w:t>
      </w:r>
    </w:p>
    <w:p>
      <w:pPr>
        <w:pStyle w:val="ListParagraph"/>
        <w:numPr>
          <w:ilvl w:val="0"/>
          <w:numId w:val="2"/>
        </w:numPr>
        <w:spacing w:after="100" w:line="290"/>
      </w:pPr>
      <w:r>
        <w:rPr>
          <w:color w:val="38373A"/>
          <w:sz w:val="21"/>
          <w:szCs w:val="21"/>
        </w:rPr>
        <w:t xml:space="preserve">src/design-system/*  — tokens (colors, spacing, radius, shadow, typography, breakpoints), a useResponsive() hook, and ~20 primitive components (MDButton, MDInput, MDText, MDBadge, MDBottomSheet, etc.) that every feature screen composes from.</w:t>
      </w:r>
    </w:p>
    <w:p>
      <w:pPr>
        <w:pStyle w:val="ListParagraph"/>
        <w:numPr>
          <w:ilvl w:val="0"/>
          <w:numId w:val="2"/>
        </w:numPr>
        <w:spacing w:after="100" w:line="290"/>
      </w:pPr>
      <w:r>
        <w:rPr>
          <w:color w:val="38373A"/>
          <w:sz w:val="21"/>
          <w:szCs w:val="21"/>
        </w:rPr>
        <w:t xml:space="preserve">src/components/*  — 39 higher-level, reusable screen components (product cards/tables/galleries, headers, trackers, forms) shared across route files.</w:t>
      </w:r>
    </w:p>
    <w:p>
      <w:pPr>
        <w:pStyle w:val="ListParagraph"/>
        <w:numPr>
          <w:ilvl w:val="0"/>
          <w:numId w:val="2"/>
        </w:numPr>
        <w:spacing w:after="100" w:line="290"/>
      </w:pPr>
      <w:r>
        <w:rPr>
          <w:color w:val="38373A"/>
          <w:sz w:val="21"/>
          <w:szCs w:val="21"/>
        </w:rPr>
        <w:t xml:space="preserve">Every mock service that stands in for a future integration (AI, BOM parsing, pricing rules, governance) carries an explicit PROTOTYPE/DEMO doc-comment stating what a production implementation would replace it with, so the seam is documented in the code itself, not just this report.</w:t>
      </w:r>
    </w:p>
    <w:p>
      <w:pPr>
        <w:pStyle w:val="Heading2"/>
        <w:spacing w:after="150" w:before="300"/>
      </w:pPr>
      <w:r>
        <w:t xml:space="preserve">2.3 Adaptive layout pattern</w:t>
      </w:r>
    </w:p>
    <w:p>
      <w:pPr>
        <w:spacing w:after="160" w:line="300"/>
      </w:pPr>
      <w:r>
        <w:rPr>
          <w:color w:val="38373A"/>
          <w:sz w:val="21"/>
          <w:szCs w:val="21"/>
        </w:rPr>
        <w:t xml:space="preserve">useResponsive() exposes isTabletUp/isDesktopUp breakpoints; screens branch layout (not just sizing) at that boundary — e.g. the Products page uses a sticky category bar + continuous scroll on desktop and a bottom-sheet filter drawer on mobile; the account section uses a persistent sidebar on desktop and a grouped list on mobile. This satisfies the "don't treat mobile as a shrunk desktop" direction rather than using pure CSS-breakpoint resizing.</w:t>
      </w:r>
    </w:p>
    <w:p>
      <w:pPr>
        <w:pStyle w:val="Heading1"/>
        <w:spacing w:after="200" w:before="400"/>
      </w:pPr>
      <w:r>
        <w:t xml:space="preserve">3. Information Architecture — Full Route Inventory</w:t>
      </w:r>
    </w:p>
    <w:p>
      <w:pPr>
        <w:spacing w:after="160" w:line="300"/>
      </w:pPr>
      <w:r>
        <w:rPr>
          <w:color w:val="38373A"/>
          <w:sz w:val="21"/>
          <w:szCs w:val="21"/>
        </w:rPr>
        <w:t xml:space="preserve">62 route files across three Expo Router groups. This is every screen that exists in the app today.</w:t>
      </w:r>
    </w:p>
    <w:p>
      <w:pPr>
        <w:pStyle w:val="Heading2"/>
        <w:spacing w:after="150" w:before="300"/>
      </w:pPr>
      <w:r>
        <w:t xml:space="preserve">3.1 Buyer app — (buyer) group, 42 routes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93386C" w:color="auto" w:val="clear"/>
            <w:tcMar>
              <w:top w:type="dxa" w:w="80"/>
              <w:left w:type="dxa" w:w="100"/>
              <w:bottom w:type="dxa" w:w="80"/>
              <w:right w:type="dxa" w:w="100"/>
            </w:tcMar>
          </w:tcPr>
          <w:p>
            <w:r>
              <w:rPr>
                <w:b/>
                <w:bCs/>
                <w:color w:val="FFFFFF"/>
                <w:sz w:val="19"/>
                <w:szCs w:val="19"/>
              </w:rPr>
              <w:t xml:space="preserve">Area</w:t>
            </w:r>
          </w:p>
        </w:tc>
        <w:tc>
          <w:tcPr>
            <w:tcW w:type="dxa" w:w="6800"/>
            <w:shd w:fill="93386C" w:color="auto" w:val="clear"/>
            <w:tcMar>
              <w:top w:type="dxa" w:w="80"/>
              <w:left w:type="dxa" w:w="100"/>
              <w:bottom w:type="dxa" w:w="80"/>
              <w:right w:type="dxa" w:w="100"/>
            </w:tcMar>
          </w:tcPr>
          <w:p>
            <w:r>
              <w:rPr>
                <w:b/>
                <w:bCs/>
                <w:color w:val="FFFFFF"/>
                <w:sz w:val="19"/>
                <w:szCs w:val="19"/>
              </w:rPr>
              <w:t xml:space="preserve">Routes</w:t>
            </w:r>
          </w:p>
        </w:tc>
      </w:tr>
      <w:tr>
        <w:tc>
          <w:tcPr>
            <w:tcW w:type="dxa" w:w="2600"/>
            <w:tcMar>
              <w:top w:type="dxa" w:w="70"/>
              <w:left w:type="dxa" w:w="100"/>
              <w:bottom w:type="dxa" w:w="70"/>
              <w:right w:type="dxa" w:w="100"/>
            </w:tcMar>
          </w:tcPr>
          <w:p>
            <w:r>
              <w:rPr>
                <w:color w:val="38373A"/>
                <w:sz w:val="19"/>
                <w:szCs w:val="19"/>
              </w:rPr>
              <w:t xml:space="preserve">Home &amp; discovery</w:t>
            </w:r>
          </w:p>
        </w:tc>
        <w:tc>
          <w:tcPr>
            <w:tcW w:type="dxa" w:w="6800"/>
            <w:tcMar>
              <w:top w:type="dxa" w:w="70"/>
              <w:left w:type="dxa" w:w="100"/>
              <w:bottom w:type="dxa" w:w="70"/>
              <w:right w:type="dxa" w:w="100"/>
            </w:tcMar>
          </w:tcPr>
          <w:p>
            <w:r>
              <w:rPr>
                <w:color w:val="38373A"/>
                <w:sz w:val="19"/>
                <w:szCs w:val="19"/>
              </w:rPr>
              <w:t xml:space="preserve">/  ·  /products  ·  /products/[manufacturer]/[part]  ·  /category  ·  /category/[slug]  ·  /manufacturers  ·  /manufacturers/[slug]  ·  /search  ·  /suppliers</w:t>
            </w:r>
          </w:p>
        </w:tc>
      </w:tr>
      <w:tr>
        <w:tc>
          <w:tcPr>
            <w:tcW w:type="dxa" w:w="2600"/>
            <w:tcMar>
              <w:top w:type="dxa" w:w="70"/>
              <w:left w:type="dxa" w:w="100"/>
              <w:bottom w:type="dxa" w:w="70"/>
              <w:right w:type="dxa" w:w="100"/>
            </w:tcMar>
          </w:tcPr>
          <w:p>
            <w:r>
              <w:rPr>
                <w:color w:val="38373A"/>
                <w:sz w:val="19"/>
                <w:szCs w:val="19"/>
              </w:rPr>
              <w:t xml:space="preserve">Cart &amp; checkout</w:t>
            </w:r>
          </w:p>
        </w:tc>
        <w:tc>
          <w:tcPr>
            <w:tcW w:type="dxa" w:w="6800"/>
            <w:tcMar>
              <w:top w:type="dxa" w:w="70"/>
              <w:left w:type="dxa" w:w="100"/>
              <w:bottom w:type="dxa" w:w="70"/>
              <w:right w:type="dxa" w:w="100"/>
            </w:tcMar>
          </w:tcPr>
          <w:p>
            <w:r>
              <w:rPr>
                <w:color w:val="38373A"/>
                <w:sz w:val="19"/>
                <w:szCs w:val="19"/>
              </w:rPr>
              <w:t xml:space="preserve">/cart  ·  /checkout/address  ·  /checkout/shipping  ·  /checkout/payment  ·  /checkout/review  ·  /order-success/[orderId]</w:t>
            </w:r>
          </w:p>
        </w:tc>
      </w:tr>
      <w:tr>
        <w:tc>
          <w:tcPr>
            <w:tcW w:type="dxa" w:w="2600"/>
            <w:tcMar>
              <w:top w:type="dxa" w:w="70"/>
              <w:left w:type="dxa" w:w="100"/>
              <w:bottom w:type="dxa" w:w="70"/>
              <w:right w:type="dxa" w:w="100"/>
            </w:tcMar>
          </w:tcPr>
          <w:p>
            <w:r>
              <w:rPr>
                <w:color w:val="38373A"/>
                <w:sz w:val="19"/>
                <w:szCs w:val="19"/>
              </w:rPr>
              <w:t xml:space="preserve">Engineering workspace</w:t>
            </w:r>
          </w:p>
        </w:tc>
        <w:tc>
          <w:tcPr>
            <w:tcW w:type="dxa" w:w="6800"/>
            <w:tcMar>
              <w:top w:type="dxa" w:w="70"/>
              <w:left w:type="dxa" w:w="100"/>
              <w:bottom w:type="dxa" w:w="70"/>
              <w:right w:type="dxa" w:w="100"/>
            </w:tcMar>
          </w:tcPr>
          <w:p>
            <w:r>
              <w:rPr>
                <w:color w:val="38373A"/>
                <w:sz w:val="19"/>
                <w:szCs w:val="19"/>
              </w:rPr>
              <w:t xml:space="preserve">/engineering  ·  /engineering/innovation-lab  ·  /ai-search  ·  /bom  ·  /design-request  ·  /rfq/[id]</w:t>
            </w:r>
          </w:p>
        </w:tc>
      </w:tr>
      <w:tr>
        <w:tc>
          <w:tcPr>
            <w:tcW w:type="dxa" w:w="2600"/>
            <w:tcMar>
              <w:top w:type="dxa" w:w="70"/>
              <w:left w:type="dxa" w:w="100"/>
              <w:bottom w:type="dxa" w:w="70"/>
              <w:right w:type="dxa" w:w="100"/>
            </w:tcMar>
          </w:tcPr>
          <w:p>
            <w:r>
              <w:rPr>
                <w:color w:val="38373A"/>
                <w:sz w:val="19"/>
                <w:szCs w:val="19"/>
              </w:rPr>
              <w:t xml:space="preserve">Wishlist / compare</w:t>
            </w:r>
          </w:p>
        </w:tc>
        <w:tc>
          <w:tcPr>
            <w:tcW w:type="dxa" w:w="6800"/>
            <w:tcMar>
              <w:top w:type="dxa" w:w="70"/>
              <w:left w:type="dxa" w:w="100"/>
              <w:bottom w:type="dxa" w:w="70"/>
              <w:right w:type="dxa" w:w="100"/>
            </w:tcMar>
          </w:tcPr>
          <w:p>
            <w:r>
              <w:rPr>
                <w:color w:val="38373A"/>
                <w:sz w:val="19"/>
                <w:szCs w:val="19"/>
              </w:rPr>
              <w:t xml:space="preserve">/wishlist  ·  /compare</w:t>
            </w:r>
          </w:p>
        </w:tc>
      </w:tr>
      <w:tr>
        <w:tc>
          <w:tcPr>
            <w:tcW w:type="dxa" w:w="2600"/>
            <w:tcMar>
              <w:top w:type="dxa" w:w="70"/>
              <w:left w:type="dxa" w:w="100"/>
              <w:bottom w:type="dxa" w:w="70"/>
              <w:right w:type="dxa" w:w="100"/>
            </w:tcMar>
          </w:tcPr>
          <w:p>
            <w:r>
              <w:rPr>
                <w:color w:val="38373A"/>
                <w:sz w:val="19"/>
                <w:szCs w:val="19"/>
              </w:rPr>
              <w:t xml:space="preserve">Account (grouped nav)</w:t>
            </w:r>
          </w:p>
        </w:tc>
        <w:tc>
          <w:tcPr>
            <w:tcW w:type="dxa" w:w="6800"/>
            <w:tcMar>
              <w:top w:type="dxa" w:w="70"/>
              <w:left w:type="dxa" w:w="100"/>
              <w:bottom w:type="dxa" w:w="70"/>
              <w:right w:type="dxa" w:w="100"/>
            </w:tcMar>
          </w:tcPr>
          <w:p>
            <w:r>
              <w:rPr>
                <w:color w:val="38373A"/>
                <w:sz w:val="19"/>
                <w:szCs w:val="19"/>
              </w:rPr>
              <w:t xml:space="preserve">/account  ·  /account/addresses  ·  /account/security  ·  /account/orders  ·  /account/orders/[id]  ·  /account/rfqs  ·  /account/bom  ·  /account/design-requests  ·  /account/wishlist  ·  /account/compare  ·  /account/recently-viewed  ·  /account/notifications</w:t>
            </w:r>
          </w:p>
        </w:tc>
      </w:tr>
      <w:tr>
        <w:tc>
          <w:tcPr>
            <w:tcW w:type="dxa" w:w="2600"/>
            <w:tcMar>
              <w:top w:type="dxa" w:w="70"/>
              <w:left w:type="dxa" w:w="100"/>
              <w:bottom w:type="dxa" w:w="70"/>
              <w:right w:type="dxa" w:w="100"/>
            </w:tcMar>
          </w:tcPr>
          <w:p>
            <w:r>
              <w:rPr>
                <w:color w:val="38373A"/>
                <w:sz w:val="19"/>
                <w:szCs w:val="19"/>
              </w:rPr>
              <w:t xml:space="preserve">Support / legal</w:t>
            </w:r>
          </w:p>
        </w:tc>
        <w:tc>
          <w:tcPr>
            <w:tcW w:type="dxa" w:w="6800"/>
            <w:tcMar>
              <w:top w:type="dxa" w:w="70"/>
              <w:left w:type="dxa" w:w="100"/>
              <w:bottom w:type="dxa" w:w="70"/>
              <w:right w:type="dxa" w:w="100"/>
            </w:tcMar>
          </w:tcPr>
          <w:p>
            <w:r>
              <w:rPr>
                <w:color w:val="38373A"/>
                <w:sz w:val="19"/>
                <w:szCs w:val="19"/>
              </w:rPr>
              <w:t xml:space="preserve">/help  ·  /legal/[slug]</w:t>
            </w:r>
          </w:p>
        </w:tc>
      </w:tr>
    </w:tbl>
    <w:p>
      <w:pPr>
        <w:pStyle w:val="Heading2"/>
        <w:spacing w:after="150" w:before="300"/>
      </w:pPr>
      <w:r>
        <w:t xml:space="preserve">3.2 Supplier / admin console — (admin) group, 15 routes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93386C" w:color="auto" w:val="clear"/>
            <w:tcMar>
              <w:top w:type="dxa" w:w="80"/>
              <w:left w:type="dxa" w:w="100"/>
              <w:bottom w:type="dxa" w:w="80"/>
              <w:right w:type="dxa" w:w="100"/>
            </w:tcMar>
          </w:tcPr>
          <w:p>
            <w:r>
              <w:rPr>
                <w:b/>
                <w:bCs/>
                <w:color w:val="FFFFFF"/>
                <w:sz w:val="19"/>
                <w:szCs w:val="19"/>
              </w:rPr>
              <w:t xml:space="preserve">Area</w:t>
            </w:r>
          </w:p>
        </w:tc>
        <w:tc>
          <w:tcPr>
            <w:tcW w:type="dxa" w:w="6800"/>
            <w:shd w:fill="93386C" w:color="auto" w:val="clear"/>
            <w:tcMar>
              <w:top w:type="dxa" w:w="80"/>
              <w:left w:type="dxa" w:w="100"/>
              <w:bottom w:type="dxa" w:w="80"/>
              <w:right w:type="dxa" w:w="100"/>
            </w:tcMar>
          </w:tcPr>
          <w:p>
            <w:r>
              <w:rPr>
                <w:b/>
                <w:bCs/>
                <w:color w:val="FFFFFF"/>
                <w:sz w:val="19"/>
                <w:szCs w:val="19"/>
              </w:rPr>
              <w:t xml:space="preserve">Routes</w:t>
            </w:r>
          </w:p>
        </w:tc>
      </w:tr>
      <w:tr>
        <w:tc>
          <w:tcPr>
            <w:tcW w:type="dxa" w:w="2600"/>
            <w:tcMar>
              <w:top w:type="dxa" w:w="70"/>
              <w:left w:type="dxa" w:w="100"/>
              <w:bottom w:type="dxa" w:w="70"/>
              <w:right w:type="dxa" w:w="100"/>
            </w:tcMar>
          </w:tcPr>
          <w:p>
            <w:r>
              <w:rPr>
                <w:color w:val="38373A"/>
                <w:sz w:val="19"/>
                <w:szCs w:val="19"/>
              </w:rPr>
              <w:t xml:space="preserve">Overview</w:t>
            </w:r>
          </w:p>
        </w:tc>
        <w:tc>
          <w:tcPr>
            <w:tcW w:type="dxa" w:w="6800"/>
            <w:tcMar>
              <w:top w:type="dxa" w:w="70"/>
              <w:left w:type="dxa" w:w="100"/>
              <w:bottom w:type="dxa" w:w="70"/>
              <w:right w:type="dxa" w:w="100"/>
            </w:tcMar>
          </w:tcPr>
          <w:p>
            <w:r>
              <w:rPr>
                <w:color w:val="38373A"/>
                <w:sz w:val="19"/>
                <w:szCs w:val="19"/>
              </w:rPr>
              <w:t xml:space="preserve">/dashboard  ·  /analytics</w:t>
            </w:r>
          </w:p>
        </w:tc>
      </w:tr>
      <w:tr>
        <w:tc>
          <w:tcPr>
            <w:tcW w:type="dxa" w:w="2600"/>
            <w:tcMar>
              <w:top w:type="dxa" w:w="70"/>
              <w:left w:type="dxa" w:w="100"/>
              <w:bottom w:type="dxa" w:w="70"/>
              <w:right w:type="dxa" w:w="100"/>
            </w:tcMar>
          </w:tcPr>
          <w:p>
            <w:r>
              <w:rPr>
                <w:color w:val="38373A"/>
                <w:sz w:val="19"/>
                <w:szCs w:val="19"/>
              </w:rPr>
              <w:t xml:space="preserve">Catalog management</w:t>
            </w:r>
          </w:p>
        </w:tc>
        <w:tc>
          <w:tcPr>
            <w:tcW w:type="dxa" w:w="6800"/>
            <w:tcMar>
              <w:top w:type="dxa" w:w="70"/>
              <w:left w:type="dxa" w:w="100"/>
              <w:bottom w:type="dxa" w:w="70"/>
              <w:right w:type="dxa" w:w="100"/>
            </w:tcMar>
          </w:tcPr>
          <w:p>
            <w:r>
              <w:rPr>
                <w:color w:val="38373A"/>
                <w:sz w:val="19"/>
                <w:szCs w:val="19"/>
              </w:rPr>
              <w:t xml:space="preserve">/products  ·  /products/new  ·  /products/[id]/edit  ·  /products/[id]/preview  ·  /categories  ·  /manufacturers  ·  /inventory</w:t>
            </w:r>
          </w:p>
        </w:tc>
      </w:tr>
      <w:tr>
        <w:tc>
          <w:tcPr>
            <w:tcW w:type="dxa" w:w="2600"/>
            <w:tcMar>
              <w:top w:type="dxa" w:w="70"/>
              <w:left w:type="dxa" w:w="100"/>
              <w:bottom w:type="dxa" w:w="70"/>
              <w:right w:type="dxa" w:w="100"/>
            </w:tcMar>
          </w:tcPr>
          <w:p>
            <w:r>
              <w:rPr>
                <w:color w:val="38373A"/>
                <w:sz w:val="19"/>
                <w:szCs w:val="19"/>
              </w:rPr>
              <w:t xml:space="preserve">Commerce</w:t>
            </w:r>
          </w:p>
        </w:tc>
        <w:tc>
          <w:tcPr>
            <w:tcW w:type="dxa" w:w="6800"/>
            <w:tcMar>
              <w:top w:type="dxa" w:w="70"/>
              <w:left w:type="dxa" w:w="100"/>
              <w:bottom w:type="dxa" w:w="70"/>
              <w:right w:type="dxa" w:w="100"/>
            </w:tcMar>
          </w:tcPr>
          <w:p>
            <w:r>
              <w:rPr>
                <w:color w:val="38373A"/>
                <w:sz w:val="19"/>
                <w:szCs w:val="19"/>
              </w:rPr>
              <w:t xml:space="preserve">/orders  ·  /orders/[id]  ·  /customers</w:t>
            </w:r>
          </w:p>
        </w:tc>
      </w:tr>
      <w:tr>
        <w:tc>
          <w:tcPr>
            <w:tcW w:type="dxa" w:w="2600"/>
            <w:tcMar>
              <w:top w:type="dxa" w:w="70"/>
              <w:left w:type="dxa" w:w="100"/>
              <w:bottom w:type="dxa" w:w="70"/>
              <w:right w:type="dxa" w:w="100"/>
            </w:tcMar>
          </w:tcPr>
          <w:p>
            <w:r>
              <w:rPr>
                <w:color w:val="38373A"/>
                <w:sz w:val="19"/>
                <w:szCs w:val="19"/>
              </w:rPr>
              <w:t xml:space="preserve">Account / system</w:t>
            </w:r>
          </w:p>
        </w:tc>
        <w:tc>
          <w:tcPr>
            <w:tcW w:type="dxa" w:w="6800"/>
            <w:tcMar>
              <w:top w:type="dxa" w:w="70"/>
              <w:left w:type="dxa" w:w="100"/>
              <w:bottom w:type="dxa" w:w="70"/>
              <w:right w:type="dxa" w:w="100"/>
            </w:tcMar>
          </w:tcPr>
          <w:p>
            <w:r>
              <w:rPr>
                <w:color w:val="38373A"/>
                <w:sz w:val="19"/>
                <w:szCs w:val="19"/>
              </w:rPr>
              <w:t xml:space="preserve">/profile  ·  /settings</w:t>
            </w:r>
          </w:p>
        </w:tc>
      </w:tr>
    </w:tbl>
    <w:p>
      <w:pPr>
        <w:pStyle w:val="Heading2"/>
        <w:spacing w:after="150" w:before="300"/>
      </w:pPr>
      <w:r>
        <w:t xml:space="preserve">3.3 Authentication — (auth) group, 7 routes</w:t>
      </w:r>
    </w:p>
    <w:p>
      <w:pPr>
        <w:pStyle w:val="ListParagraph"/>
        <w:numPr>
          <w:ilvl w:val="0"/>
          <w:numId w:val="2"/>
        </w:numPr>
        <w:spacing w:after="100" w:line="290"/>
      </w:pPr>
      <w:r>
        <w:rPr>
          <w:color w:val="38373A"/>
          <w:sz w:val="21"/>
          <w:szCs w:val="21"/>
        </w:rPr>
        <w:t xml:space="preserve">/welcome, /login, /register, /forgot-password, /reset-password — buyer identity flows</w:t>
      </w:r>
    </w:p>
    <w:p>
      <w:pPr>
        <w:pStyle w:val="ListParagraph"/>
        <w:numPr>
          <w:ilvl w:val="0"/>
          <w:numId w:val="2"/>
        </w:numPr>
        <w:spacing w:after="100" w:line="290"/>
      </w:pPr>
      <w:r>
        <w:rPr>
          <w:color w:val="38373A"/>
          <w:sz w:val="21"/>
          <w:szCs w:val="21"/>
        </w:rPr>
        <w:t xml:space="preserve">/admin-login — separate console entry point (graphite-toned shell, distinct from the buyer plum-toned shell)</w:t>
      </w:r>
    </w:p>
    <w:p>
      <w:pPr>
        <w:pStyle w:val="ListParagraph"/>
        <w:numPr>
          <w:ilvl w:val="0"/>
          <w:numId w:val="2"/>
        </w:numPr>
        <w:spacing w:after="100" w:line="290"/>
      </w:pPr>
      <w:r>
        <w:rPr>
          <w:color w:val="38373A"/>
          <w:sz w:val="21"/>
          <w:szCs w:val="21"/>
        </w:rPr>
        <w:t xml:space="preserve">/seller-register — supplier onboarding application form</w:t>
      </w:r>
    </w:p>
    <w:p>
      <w:pPr>
        <w:pStyle w:val="Heading1"/>
        <w:spacing w:after="200" w:before="400"/>
      </w:pPr>
      <w:r>
        <w:t xml:space="preserve">4. Buyer Experience — Page by Page</w:t>
      </w:r>
    </w:p>
    <w:p>
      <w:pPr>
        <w:pStyle w:val="Heading2"/>
        <w:spacing w:after="150" w:before="300"/>
      </w:pPr>
      <w:r>
        <w:t xml:space="preserve">4.1 Homepage</w:t>
      </w:r>
    </w:p>
    <w:p>
      <w:pPr>
        <w:spacing w:after="160" w:line="300"/>
      </w:pPr>
      <w:r>
        <w:rPr>
          <w:color w:val="38373A"/>
          <w:sz w:val="21"/>
          <w:szCs w:val="21"/>
        </w:rPr>
        <w:t xml:space="preserve">Single continuous scroll built from independent sections, each backed by real query hooks against the live catalog:</w:t>
      </w:r>
    </w:p>
    <w:p>
      <w:pPr>
        <w:pStyle w:val="ListParagraph"/>
        <w:numPr>
          <w:ilvl w:val="0"/>
          <w:numId w:val="2"/>
        </w:numPr>
        <w:spacing w:after="100" w:line="290"/>
      </w:pPr>
      <w:r>
        <w:rPr>
          <w:color w:val="38373A"/>
          <w:sz w:val="21"/>
          <w:szCs w:val="21"/>
        </w:rPr>
        <w:t xml:space="preserve">Hero: a full-width segment carousel (no supporting text column — the carousel itself is the hero).</w:t>
      </w:r>
    </w:p>
    <w:p>
      <w:pPr>
        <w:pStyle w:val="ListParagraph"/>
        <w:numPr>
          <w:ilvl w:val="0"/>
          <w:numId w:val="2"/>
        </w:numPr>
        <w:spacing w:after="100" w:line="290"/>
      </w:pPr>
      <w:r>
        <w:rPr>
          <w:color w:val="38373A"/>
          <w:sz w:val="21"/>
          <w:szCs w:val="21"/>
        </w:rPr>
        <w:t xml:space="preserve">"Platform at a Glance" stat strip — live counts of categories, manufacturers, and catalog parts, computed from the actual dataset (not hardcoded).</w:t>
      </w:r>
    </w:p>
    <w:p>
      <w:pPr>
        <w:pStyle w:val="ListParagraph"/>
        <w:numPr>
          <w:ilvl w:val="0"/>
          <w:numId w:val="2"/>
        </w:numPr>
        <w:spacing w:after="100" w:line="290"/>
      </w:pPr>
      <w:r>
        <w:rPr>
          <w:color w:val="38373A"/>
          <w:sz w:val="21"/>
          <w:szCs w:val="21"/>
        </w:rPr>
        <w:t xml:space="preserve">Verified manufacturer showcase with a link into the full manufacturer directory.</w:t>
      </w:r>
    </w:p>
    <w:p>
      <w:pPr>
        <w:pStyle w:val="ListParagraph"/>
        <w:numPr>
          <w:ilvl w:val="0"/>
          <w:numId w:val="2"/>
        </w:numPr>
        <w:spacing w:after="100" w:line="290"/>
      </w:pPr>
      <w:r>
        <w:rPr>
          <w:color w:val="38373A"/>
          <w:sz w:val="21"/>
          <w:szCs w:val="21"/>
        </w:rPr>
        <w:t xml:space="preserve">Engineering Workspace teaser — three cards linking directly to AI Search, BOM/RFQ, and Design Request.</w:t>
      </w:r>
    </w:p>
    <w:p>
      <w:pPr>
        <w:pStyle w:val="ListParagraph"/>
        <w:numPr>
          <w:ilvl w:val="0"/>
          <w:numId w:val="2"/>
        </w:numPr>
        <w:spacing w:after="100" w:line="290"/>
      </w:pPr>
      <w:r>
        <w:rPr>
          <w:color w:val="38373A"/>
          <w:sz w:val="21"/>
          <w:szCs w:val="21"/>
        </w:rPr>
        <w:t xml:space="preserve">Three product rails (Featured / Best Sellers / New Arrivals) driven by the tags field already present in product data.</w:t>
      </w:r>
    </w:p>
    <w:p>
      <w:pPr>
        <w:pStyle w:val="ListParagraph"/>
        <w:numPr>
          <w:ilvl w:val="0"/>
          <w:numId w:val="2"/>
        </w:numPr>
        <w:spacing w:after="100" w:line="290"/>
      </w:pPr>
      <w:r>
        <w:rPr>
          <w:color w:val="38373A"/>
          <w:sz w:val="21"/>
          <w:szCs w:val="21"/>
        </w:rPr>
        <w:t xml:space="preserve">Category grid, a supplier-ecosystem split panel (join-the-marketplace CTA + governance/RFQ/analytics value props), a "Built for Engineering &amp; Procurement" feature bento, and a closing dual CTA with a support-icon grid.</w:t>
      </w:r>
    </w:p>
    <w:p>
      <w:pPr>
        <w:pStyle w:val="ListParagraph"/>
        <w:numPr>
          <w:ilvl w:val="0"/>
          <w:numId w:val="2"/>
        </w:numPr>
        <w:spacing w:after="100" w:line="290"/>
      </w:pPr>
      <w:r>
        <w:rPr>
          <w:color w:val="38373A"/>
          <w:sz w:val="21"/>
          <w:szCs w:val="21"/>
        </w:rPr>
        <w:t xml:space="preserve">A "Built for Scale" dark panel mixes live numbers (parts, manufacturers, RoHS %) with governance target metrics (e.g. "&lt;5 min ERP↔Web stock sync", "&gt;99% SKU load accuracy") — the target metrics are explicitly marked with a "Target" badge so they are never confused with achieved numbers.</w:t>
      </w:r>
    </w:p>
    <w:p>
      <w:pPr>
        <w:pStyle w:val="Heading2"/>
        <w:spacing w:after="150" w:before="300"/>
      </w:pPr>
      <w:r>
        <w:t xml:space="preserve">4.2 Product discovery — /products</w:t>
      </w:r>
    </w:p>
    <w:p>
      <w:pPr>
        <w:spacing w:after="160" w:line="300"/>
      </w:pPr>
      <w:r>
        <w:rPr>
          <w:color w:val="38373A"/>
          <w:sz w:val="21"/>
          <w:szCs w:val="21"/>
        </w:rPr>
        <w:t xml:space="preserve">The most engineering-specific page in the app. Desktop layout: title scrolls away normally; a category pill bar (All Products + every real category, each showing its live product count) becomes sticky under the header once scrolled to, with the filter sidebar and results flowing continuously beneath it in one page scroll.</w:t>
      </w:r>
    </w:p>
    <w:p>
      <w:pPr>
        <w:pStyle w:val="ListParagraph"/>
        <w:numPr>
          <w:ilvl w:val="0"/>
          <w:numId w:val="2"/>
        </w:numPr>
        <w:spacing w:after="100" w:line="290"/>
      </w:pPr>
      <w:r>
        <w:rPr>
          <w:color w:val="38373A"/>
          <w:sz w:val="21"/>
          <w:szCs w:val="21"/>
        </w:rPr>
        <w:t xml:space="preserve">Parametric filters (ProductFilterControls): Category, Manufacturer, Product Type, Technology, Mounting Style, Package, Price Range, a tiered Availability filter (100+ / 500+ / 1,000+ / 5,000+ units), and RoHS-only — every option list is generated from the real data (buildFilterOptionSets), never invented.</w:t>
      </w:r>
    </w:p>
    <w:p>
      <w:pPr>
        <w:pStyle w:val="ListParagraph"/>
        <w:numPr>
          <w:ilvl w:val="0"/>
          <w:numId w:val="2"/>
        </w:numPr>
        <w:spacing w:after="100" w:line="290"/>
      </w:pPr>
      <w:r>
        <w:rPr>
          <w:color w:val="38373A"/>
          <w:sz w:val="21"/>
          <w:szCs w:val="21"/>
        </w:rPr>
        <w:t xml:space="preserve">Three result view modes via a toggle next to the sort menu: Grid (virtualized card grid, continuous scroll), Table (a new compact ProductTable — part/manufacturer, type/package, price, availability, RoHS, one row per part, built for scanning many parts quickly), and Paginated (24-per-page grid with numbered pagination).</w:t>
      </w:r>
    </w:p>
    <w:p>
      <w:pPr>
        <w:pStyle w:val="ListParagraph"/>
        <w:numPr>
          <w:ilvl w:val="0"/>
          <w:numId w:val="2"/>
        </w:numPr>
        <w:spacing w:after="100" w:line="290"/>
      </w:pPr>
      <w:r>
        <w:rPr>
          <w:color w:val="38373A"/>
          <w:sz w:val="21"/>
          <w:szCs w:val="21"/>
        </w:rPr>
        <w:t xml:space="preserve">Sort options, active-filter chips with one-tap clear, and a mobile bottom-sheet filter drawer.</w:t>
      </w:r>
    </w:p>
    <w:p>
      <w:pPr>
        <w:pStyle w:val="Heading2"/>
        <w:spacing w:after="150" w:before="300"/>
      </w:pPr>
      <w:r>
        <w:t xml:space="preserve">4.3 Category &amp; manufacturer experiences</w:t>
      </w:r>
    </w:p>
    <w:p>
      <w:pPr>
        <w:pStyle w:val="ListParagraph"/>
        <w:numPr>
          <w:ilvl w:val="0"/>
          <w:numId w:val="2"/>
        </w:numPr>
        <w:spacing w:after="100" w:line="290"/>
      </w:pPr>
      <w:r>
        <w:rPr>
          <w:color w:val="38373A"/>
          <w:sz w:val="21"/>
          <w:szCs w:val="21"/>
        </w:rPr>
        <w:t xml:space="preserve">/category/[slug] layers a "Browse by Type" pill row on top of the standard catalog view, generated from real productType values and cross-referenced against a master category taxonomy (Section 10) so subcategory labels match industry-standard naming, not invented ones.</w:t>
      </w:r>
    </w:p>
    <w:p>
      <w:pPr>
        <w:pStyle w:val="ListParagraph"/>
        <w:numPr>
          <w:ilvl w:val="0"/>
          <w:numId w:val="2"/>
        </w:numPr>
        <w:spacing w:after="100" w:line="290"/>
      </w:pPr>
      <w:r>
        <w:rPr>
          <w:color w:val="38373A"/>
          <w:sz w:val="21"/>
          <w:szCs w:val="21"/>
        </w:rPr>
        <w:t xml:space="preserve">/manufacturers is a directory of every manufacturer actually present in the catalog (12 today), each showing live product count; /manufacturers/[slug] is a premium per-manufacturer landing page (logo, description, product portfolio, category breakdown) built from real product-manufacturer relationships.</w:t>
      </w:r>
    </w:p>
    <w:p>
      <w:pPr>
        <w:pStyle w:val="ListParagraph"/>
        <w:numPr>
          <w:ilvl w:val="0"/>
          <w:numId w:val="2"/>
        </w:numPr>
        <w:spacing w:after="100" w:line="290"/>
      </w:pPr>
      <w:r>
        <w:rPr>
          <w:color w:val="38373A"/>
          <w:sz w:val="21"/>
          <w:szCs w:val="21"/>
        </w:rPr>
        <w:t xml:space="preserve">/suppliers frames the same manufacturer/supplier concept as a marketplace pitch aimed at prospective sellers, distinct from the buyer-facing directory.</w:t>
      </w:r>
    </w:p>
    <w:p>
      <w:pPr>
        <w:pStyle w:val="Heading2"/>
        <w:spacing w:after="150" w:before="300"/>
      </w:pPr>
      <w:r>
        <w:t xml:space="preserve">4.4 Product Detail Page — /products/[manufacturer]/[part]</w:t>
      </w:r>
    </w:p>
    <w:p>
      <w:pPr>
        <w:spacing w:after="160" w:line="300"/>
      </w:pPr>
      <w:r>
        <w:rPr>
          <w:color w:val="38373A"/>
          <w:sz w:val="21"/>
          <w:szCs w:val="21"/>
        </w:rPr>
        <w:t xml:space="preserve">Redesigned this session for information density and reduced dead space:</w:t>
      </w:r>
    </w:p>
    <w:p>
      <w:pPr>
        <w:pStyle w:val="ListParagraph"/>
        <w:numPr>
          <w:ilvl w:val="0"/>
          <w:numId w:val="2"/>
        </w:numPr>
        <w:spacing w:after="100" w:line="290"/>
      </w:pPr>
      <w:r>
        <w:rPr>
          <w:color w:val="38373A"/>
          <w:sz w:val="21"/>
          <w:szCs w:val="21"/>
        </w:rPr>
        <w:t xml:space="preserve">Image gallery: main image with a click-to-zoom modal; on desktop, a vertical thumbnail rail (every thumbnail clickable) sits beside the image rather than a horizontal row below it, since the catalog currently has one real photo per part — the gallery interaction is built honestly around that constraint rather than inventing extra angles.</w:t>
      </w:r>
    </w:p>
    <w:p>
      <w:pPr>
        <w:pStyle w:val="ListParagraph"/>
        <w:numPr>
          <w:ilvl w:val="0"/>
          <w:numId w:val="2"/>
        </w:numPr>
        <w:spacing w:after="100" w:line="290"/>
      </w:pPr>
      <w:r>
        <w:rPr>
          <w:color w:val="38373A"/>
          <w:sz w:val="21"/>
          <w:szCs w:val="21"/>
        </w:rPr>
        <w:t xml:space="preserve">The zoom modal implements a classic lens + adjacent magnifier pane on hover (web only), all built on RN-Web mouse events — no new dependency.</w:t>
      </w:r>
    </w:p>
    <w:p>
      <w:pPr>
        <w:pStyle w:val="ListParagraph"/>
        <w:numPr>
          <w:ilvl w:val="0"/>
          <w:numId w:val="2"/>
        </w:numPr>
        <w:spacing w:after="100" w:line="290"/>
      </w:pPr>
      <w:r>
        <w:rPr>
          <w:color w:val="38373A"/>
          <w:sz w:val="21"/>
          <w:szCs w:val="21"/>
        </w:rPr>
        <w:t xml:space="preserve">Manufacturer logo is directly clickable through to that manufacturer's page (the separate "Manufacturer" info card was removed as redundant).</w:t>
      </w:r>
    </w:p>
    <w:p>
      <w:pPr>
        <w:pStyle w:val="ListParagraph"/>
        <w:numPr>
          <w:ilvl w:val="0"/>
          <w:numId w:val="2"/>
        </w:numPr>
        <w:spacing w:after="100" w:line="290"/>
      </w:pPr>
      <w:r>
        <w:rPr>
          <w:color w:val="38373A"/>
          <w:sz w:val="21"/>
          <w:szCs w:val="21"/>
        </w:rPr>
        <w:t xml:space="preserve">Purchase panel: quantity selector sits alongside wishlist/compare icon buttons (moved up, out of the button stack); Add to Cart, Buy Now, Request Quote (RFQ), and View Datasheet are stacked full-width beneath.</w:t>
      </w:r>
    </w:p>
    <w:p>
      <w:pPr>
        <w:pStyle w:val="ListParagraph"/>
        <w:numPr>
          <w:ilvl w:val="0"/>
          <w:numId w:val="2"/>
        </w:numPr>
        <w:spacing w:after="100" w:line="290"/>
      </w:pPr>
      <w:r>
        <w:rPr>
          <w:color w:val="38373A"/>
          <w:sz w:val="21"/>
          <w:szCs w:val="21"/>
        </w:rPr>
        <w:t xml:space="preserve">Below the fold: Description, a structured Product Information / Compliance / Availability spec table (MDSpecTable — only real, present fields are ever shown), and a Related Products rail that is now a single horizontally-scrollable row rather than a wrapping multi-row grid.</w:t>
      </w:r>
    </w:p>
    <w:p>
      <w:pPr>
        <w:pStyle w:val="ListParagraph"/>
        <w:numPr>
          <w:ilvl w:val="0"/>
          <w:numId w:val="2"/>
        </w:numPr>
        <w:spacing w:after="100" w:line="290"/>
      </w:pPr>
      <w:r>
        <w:rPr>
          <w:color w:val="38373A"/>
          <w:sz w:val="21"/>
          <w:szCs w:val="21"/>
        </w:rPr>
        <w:t xml:space="preserve">A hand-built two-leaf RoHS badge (MDRohsBadge/MDRohsIcon, inline SVG) reproduces the industry-standard RoHS compliance mark's silhouette in the correct green, used consistently on product cards, the PDP, and cart lines — built inline because loading a third-party icon font was ruled out by the no-new-dependency constraint.</w:t>
      </w:r>
    </w:p>
    <w:p>
      <w:pPr>
        <w:pStyle w:val="Heading2"/>
        <w:spacing w:after="150" w:before="300"/>
      </w:pPr>
      <w:r>
        <w:t xml:space="preserve">4.5 Cart — /cart</w:t>
      </w:r>
    </w:p>
    <w:p>
      <w:pPr>
        <w:pStyle w:val="ListParagraph"/>
        <w:numPr>
          <w:ilvl w:val="0"/>
          <w:numId w:val="2"/>
        </w:numPr>
        <w:spacing w:after="100" w:line="290"/>
      </w:pPr>
      <w:r>
        <w:rPr>
          <w:color w:val="38373A"/>
          <w:sz w:val="21"/>
          <w:szCs w:val="21"/>
        </w:rPr>
        <w:t xml:space="preserve">Line items with manufacturer logo, package/mounting/RoHS badges, live stock status, per-line quantity control, and icon-only Save-for-Later / Remove actions.</w:t>
      </w:r>
    </w:p>
    <w:p>
      <w:pPr>
        <w:pStyle w:val="ListParagraph"/>
        <w:numPr>
          <w:ilvl w:val="0"/>
          <w:numId w:val="2"/>
        </w:numPr>
        <w:spacing w:after="100" w:line="290"/>
      </w:pPr>
      <w:r>
        <w:rPr>
          <w:color w:val="38373A"/>
          <w:sz w:val="21"/>
          <w:szCs w:val="21"/>
        </w:rPr>
        <w:t xml:space="preserve">Order Summary panel: subtotal, shipping placeholder, tax placeholder, total, a volume-pricing nudge when any line reaches the demo volume threshold, "Proceed to Checkout" and "Request a Quote Instead" (routes into the RFQ flow with source: 'cart').</w:t>
      </w:r>
    </w:p>
    <w:p>
      <w:pPr>
        <w:pStyle w:val="ListParagraph"/>
        <w:numPr>
          <w:ilvl w:val="0"/>
          <w:numId w:val="2"/>
        </w:numPr>
        <w:spacing w:after="100" w:line="290"/>
      </w:pPr>
      <w:r>
        <w:rPr>
          <w:color w:val="38373A"/>
          <w:sz w:val="21"/>
          <w:szCs w:val="21"/>
        </w:rPr>
        <w:t xml:space="preserve">Trust panel (secure checkout, volume/contract pricing via RFQ, accepted payment methods, enterprise support) and a "Need Help?" support card.</w:t>
      </w:r>
    </w:p>
    <w:p>
      <w:pPr>
        <w:pStyle w:val="ListParagraph"/>
        <w:numPr>
          <w:ilvl w:val="0"/>
          <w:numId w:val="2"/>
        </w:numPr>
        <w:spacing w:after="100" w:line="290"/>
      </w:pPr>
      <w:r>
        <w:rPr>
          <w:b/>
          <w:bCs/>
          <w:color w:val="38373A"/>
          <w:sz w:val="21"/>
          <w:szCs w:val="21"/>
        </w:rPr>
        <w:t xml:space="preserve">Fixed this session: </w:t>
      </w:r>
      <w:r>
        <w:rPr>
          <w:color w:val="38373A"/>
          <w:sz w:val="21"/>
          <w:szCs w:val="21"/>
        </w:rPr>
        <w:t xml:space="preserve">quantity changes previously re-triggered the same 400ms mock-network delay used for real product fetches, because the data hook keyed its query on productId:quantity — every click flashed the whole cart to a loading skeleton. Quantity is now purely local state; the async product fetch only re-runs when items are actually added or removed, so totals update instantly.</w:t>
      </w:r>
    </w:p>
    <w:p>
      <w:pPr>
        <w:pStyle w:val="Heading2"/>
        <w:spacing w:after="150" w:before="300"/>
      </w:pPr>
      <w:r>
        <w:t xml:space="preserve">4.6 Checkout — 4 steps + persistent order summary</w:t>
      </w:r>
    </w:p>
    <w:p>
      <w:pPr>
        <w:spacing w:after="160" w:line="300"/>
      </w:pPr>
      <w:r>
        <w:rPr>
          <w:color w:val="38373A"/>
          <w:sz w:val="21"/>
          <w:szCs w:val="21"/>
        </w:rPr>
        <w:t xml:space="preserve">Redesigned this session (own brand/colors — IA adapted from common distributor-checkout patterns, not copied visuals). The checkout shell is now two-column on desktop: step content on the left, a sticky CheckoutOrderSummary on the right that stays visible across all four steps — line items, subtotal, a shipping line that reads "Calculated at next step" until a method is chosen, tax, total, and the same trust badges as the cart. On mobile it stacks below the step content.</w:t>
      </w:r>
    </w:p>
    <w:p>
      <w:pPr>
        <w:pStyle w:val="ListParagraph"/>
        <w:numPr>
          <w:ilvl w:val="0"/>
          <w:numId w:val="2"/>
        </w:numPr>
        <w:spacing w:after="100" w:line="290"/>
      </w:pPr>
      <w:r>
        <w:rPr>
          <w:color w:val="38373A"/>
          <w:sz w:val="21"/>
          <w:szCs w:val="21"/>
        </w:rPr>
        <w:t xml:space="preserve">Step 1 — Address: saved-address radio cards + an inline "add new address" form; billing-same-as-shipping toggle.</w:t>
      </w:r>
    </w:p>
    <w:p>
      <w:pPr>
        <w:pStyle w:val="ListParagraph"/>
        <w:numPr>
          <w:ilvl w:val="0"/>
          <w:numId w:val="2"/>
        </w:numPr>
        <w:spacing w:after="100" w:line="290"/>
      </w:pPr>
      <w:r>
        <w:rPr>
          <w:color w:val="38373A"/>
          <w:sz w:val="21"/>
          <w:szCs w:val="21"/>
        </w:rPr>
        <w:t xml:space="preserve">Step 2 — Shipping: three carrier-tier radio cards (Standard/Express/Priority) each showing ETA and cost.</w:t>
      </w:r>
    </w:p>
    <w:p>
      <w:pPr>
        <w:pStyle w:val="ListParagraph"/>
        <w:numPr>
          <w:ilvl w:val="0"/>
          <w:numId w:val="2"/>
        </w:numPr>
        <w:spacing w:after="100" w:line="290"/>
      </w:pPr>
      <w:r>
        <w:rPr>
          <w:color w:val="38373A"/>
          <w:sz w:val="21"/>
          <w:szCs w:val="21"/>
        </w:rPr>
        <w:t xml:space="preserve">Step 3 — Payment: six method types (credit/debit card, UPI, net banking, wallet, purchase order) with method-specific input fields — Purchase Order is included specifically for enterprise buyers.</w:t>
      </w:r>
    </w:p>
    <w:p>
      <w:pPr>
        <w:pStyle w:val="ListParagraph"/>
        <w:numPr>
          <w:ilvl w:val="0"/>
          <w:numId w:val="2"/>
        </w:numPr>
        <w:spacing w:after="100" w:line="290"/>
      </w:pPr>
      <w:r>
        <w:rPr>
          <w:color w:val="38373A"/>
          <w:sz w:val="21"/>
          <w:szCs w:val="21"/>
        </w:rPr>
        <w:t xml:space="preserve">Step 4 — Review: icon-labeled summary of Address / Shipping / Payment (each with an Edit link back to that step), terms acceptance, and Place Order. The line-items list and totals box that used to duplicate the sidebar were removed from this step now that the sidebar carries them throughout.</w:t>
      </w:r>
    </w:p>
    <w:p>
      <w:pPr>
        <w:pStyle w:val="ListParagraph"/>
        <w:numPr>
          <w:ilvl w:val="0"/>
          <w:numId w:val="2"/>
        </w:numPr>
        <w:spacing w:after="100" w:line="290"/>
      </w:pPr>
      <w:r>
        <w:rPr>
          <w:color w:val="38373A"/>
          <w:sz w:val="21"/>
          <w:szCs w:val="21"/>
        </w:rPr>
        <w:t xml:space="preserve">/order-success/[orderId] confirms the order; account → Order History and Order Detail present the same order plus a LogisticsTracker timeline (Order Placed → Payment Confirmed → Supplier Processing → Packed → Shipped → In Transit → Delivered), explicitly labeled as a prototype simulation, not a live carrier integration.</w:t>
      </w:r>
    </w:p>
    <w:p>
      <w:pPr>
        <w:pStyle w:val="Heading2"/>
        <w:spacing w:after="150" w:before="300"/>
      </w:pPr>
      <w:r>
        <w:t xml:space="preserve">4.7 Account section — 12 routes, grouped IA</w:t>
      </w:r>
    </w:p>
    <w:p>
      <w:pPr>
        <w:spacing w:after="160" w:line="300"/>
      </w:pPr>
      <w:r>
        <w:rPr>
          <w:color w:val="38373A"/>
          <w:sz w:val="21"/>
          <w:szCs w:val="21"/>
        </w:rPr>
        <w:t xml:space="preserve">One shared nav config (accountNav.ts) drives both the desktop sidebar and the mobile grouped list, organized the way an enterprise account center should read rather than as a flat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93386C" w:color="auto" w:val="clear"/>
            <w:tcMar>
              <w:top w:type="dxa" w:w="80"/>
              <w:left w:type="dxa" w:w="100"/>
              <w:bottom w:type="dxa" w:w="80"/>
              <w:right w:type="dxa" w:w="100"/>
            </w:tcMar>
          </w:tcPr>
          <w:p>
            <w:r>
              <w:rPr>
                <w:b/>
                <w:bCs/>
                <w:color w:val="FFFFFF"/>
                <w:sz w:val="19"/>
                <w:szCs w:val="19"/>
              </w:rPr>
              <w:t xml:space="preserve">Group</w:t>
            </w:r>
          </w:p>
        </w:tc>
        <w:tc>
          <w:tcPr>
            <w:tcW w:type="dxa" w:w="6800"/>
            <w:shd w:fill="93386C" w:color="auto" w:val="clear"/>
            <w:tcMar>
              <w:top w:type="dxa" w:w="80"/>
              <w:left w:type="dxa" w:w="100"/>
              <w:bottom w:type="dxa" w:w="80"/>
              <w:right w:type="dxa" w:w="100"/>
            </w:tcMar>
          </w:tcPr>
          <w:p>
            <w:r>
              <w:rPr>
                <w:b/>
                <w:bCs/>
                <w:color w:val="FFFFFF"/>
                <w:sz w:val="19"/>
                <w:szCs w:val="19"/>
              </w:rPr>
              <w:t xml:space="preserve">Pages</w:t>
            </w:r>
          </w:p>
        </w:tc>
      </w:tr>
      <w:tr>
        <w:tc>
          <w:tcPr>
            <w:tcW w:type="dxa" w:w="2600"/>
            <w:tcMar>
              <w:top w:type="dxa" w:w="70"/>
              <w:left w:type="dxa" w:w="100"/>
              <w:bottom w:type="dxa" w:w="70"/>
              <w:right w:type="dxa" w:w="100"/>
            </w:tcMar>
          </w:tcPr>
          <w:p>
            <w:r>
              <w:rPr>
                <w:color w:val="38373A"/>
                <w:sz w:val="19"/>
                <w:szCs w:val="19"/>
              </w:rPr>
              <w:t xml:space="preserve">Personal Information</w:t>
            </w:r>
          </w:p>
        </w:tc>
        <w:tc>
          <w:tcPr>
            <w:tcW w:type="dxa" w:w="6800"/>
            <w:tcMar>
              <w:top w:type="dxa" w:w="70"/>
              <w:left w:type="dxa" w:w="100"/>
              <w:bottom w:type="dxa" w:w="70"/>
              <w:right w:type="dxa" w:w="100"/>
            </w:tcMar>
          </w:tcPr>
          <w:p>
            <w:r>
              <w:rPr>
                <w:color w:val="38373A"/>
                <w:sz w:val="19"/>
                <w:szCs w:val="19"/>
              </w:rPr>
              <w:t xml:space="preserve">My Account, Addresses, Security</w:t>
            </w:r>
          </w:p>
        </w:tc>
      </w:tr>
      <w:tr>
        <w:tc>
          <w:tcPr>
            <w:tcW w:type="dxa" w:w="2600"/>
            <w:tcMar>
              <w:top w:type="dxa" w:w="70"/>
              <w:left w:type="dxa" w:w="100"/>
              <w:bottom w:type="dxa" w:w="70"/>
              <w:right w:type="dxa" w:w="100"/>
            </w:tcMar>
          </w:tcPr>
          <w:p>
            <w:r>
              <w:rPr>
                <w:color w:val="38373A"/>
                <w:sz w:val="19"/>
                <w:szCs w:val="19"/>
              </w:rPr>
              <w:t xml:space="preserve">Orders &amp; Quotes</w:t>
            </w:r>
          </w:p>
        </w:tc>
        <w:tc>
          <w:tcPr>
            <w:tcW w:type="dxa" w:w="6800"/>
            <w:tcMar>
              <w:top w:type="dxa" w:w="70"/>
              <w:left w:type="dxa" w:w="100"/>
              <w:bottom w:type="dxa" w:w="70"/>
              <w:right w:type="dxa" w:w="100"/>
            </w:tcMar>
          </w:tcPr>
          <w:p>
            <w:r>
              <w:rPr>
                <w:color w:val="38373A"/>
                <w:sz w:val="19"/>
                <w:szCs w:val="19"/>
              </w:rPr>
              <w:t xml:space="preserve">Order History, My RFQs</w:t>
            </w:r>
          </w:p>
        </w:tc>
      </w:tr>
      <w:tr>
        <w:tc>
          <w:tcPr>
            <w:tcW w:type="dxa" w:w="2600"/>
            <w:tcMar>
              <w:top w:type="dxa" w:w="70"/>
              <w:left w:type="dxa" w:w="100"/>
              <w:bottom w:type="dxa" w:w="70"/>
              <w:right w:type="dxa" w:w="100"/>
            </w:tcMar>
          </w:tcPr>
          <w:p>
            <w:r>
              <w:rPr>
                <w:color w:val="38373A"/>
                <w:sz w:val="19"/>
                <w:szCs w:val="19"/>
              </w:rPr>
              <w:t xml:space="preserve">BOM &amp; Design Requests</w:t>
            </w:r>
          </w:p>
        </w:tc>
        <w:tc>
          <w:tcPr>
            <w:tcW w:type="dxa" w:w="6800"/>
            <w:tcMar>
              <w:top w:type="dxa" w:w="70"/>
              <w:left w:type="dxa" w:w="100"/>
              <w:bottom w:type="dxa" w:w="70"/>
              <w:right w:type="dxa" w:w="100"/>
            </w:tcMar>
          </w:tcPr>
          <w:p>
            <w:r>
              <w:rPr>
                <w:color w:val="38373A"/>
                <w:sz w:val="19"/>
                <w:szCs w:val="19"/>
              </w:rPr>
              <w:t xml:space="preserve">Import a New BOM, My Design Requests</w:t>
            </w:r>
          </w:p>
        </w:tc>
      </w:tr>
      <w:tr>
        <w:tc>
          <w:tcPr>
            <w:tcW w:type="dxa" w:w="2600"/>
            <w:tcMar>
              <w:top w:type="dxa" w:w="70"/>
              <w:left w:type="dxa" w:w="100"/>
              <w:bottom w:type="dxa" w:w="70"/>
              <w:right w:type="dxa" w:w="100"/>
            </w:tcMar>
          </w:tcPr>
          <w:p>
            <w:r>
              <w:rPr>
                <w:color w:val="38373A"/>
                <w:sz w:val="19"/>
                <w:szCs w:val="19"/>
              </w:rPr>
              <w:t xml:space="preserve">Shopping Tools</w:t>
            </w:r>
          </w:p>
        </w:tc>
        <w:tc>
          <w:tcPr>
            <w:tcW w:type="dxa" w:w="6800"/>
            <w:tcMar>
              <w:top w:type="dxa" w:w="70"/>
              <w:left w:type="dxa" w:w="100"/>
              <w:bottom w:type="dxa" w:w="70"/>
              <w:right w:type="dxa" w:w="100"/>
            </w:tcMar>
          </w:tcPr>
          <w:p>
            <w:r>
              <w:rPr>
                <w:color w:val="38373A"/>
                <w:sz w:val="19"/>
                <w:szCs w:val="19"/>
              </w:rPr>
              <w:t xml:space="preserve">Wishlist, Compare, Recently Viewed</w:t>
            </w:r>
          </w:p>
        </w:tc>
      </w:tr>
      <w:tr>
        <w:tc>
          <w:tcPr>
            <w:tcW w:type="dxa" w:w="2600"/>
            <w:tcMar>
              <w:top w:type="dxa" w:w="70"/>
              <w:left w:type="dxa" w:w="100"/>
              <w:bottom w:type="dxa" w:w="70"/>
              <w:right w:type="dxa" w:w="100"/>
            </w:tcMar>
          </w:tcPr>
          <w:p>
            <w:r>
              <w:rPr>
                <w:color w:val="38373A"/>
                <w:sz w:val="19"/>
                <w:szCs w:val="19"/>
              </w:rPr>
              <w:t xml:space="preserve">Preferences</w:t>
            </w:r>
          </w:p>
        </w:tc>
        <w:tc>
          <w:tcPr>
            <w:tcW w:type="dxa" w:w="6800"/>
            <w:tcMar>
              <w:top w:type="dxa" w:w="70"/>
              <w:left w:type="dxa" w:w="100"/>
              <w:bottom w:type="dxa" w:w="70"/>
              <w:right w:type="dxa" w:w="100"/>
            </w:tcMar>
          </w:tcPr>
          <w:p>
            <w:r>
              <w:rPr>
                <w:color w:val="38373A"/>
                <w:sz w:val="19"/>
                <w:szCs w:val="19"/>
              </w:rPr>
              <w:t xml:space="preserve">Notifications</w:t>
            </w:r>
          </w:p>
        </w:tc>
      </w:tr>
    </w:tbl>
    <w:p>
      <w:pPr>
        <w:spacing w:after="160" w:line="300"/>
      </w:pPr>
      <w:r>
        <w:rPr>
          <w:color w:val="38373A"/>
          <w:sz w:val="21"/>
          <w:szCs w:val="21"/>
        </w:rPr>
        <w:t xml:space="preserve">Desktop uses the same independent-scroll pattern (sidebar and content each scroll on their own within a bounded flex region rather than one long page scroll) that the Products page also uses.</w:t>
      </w:r>
    </w:p>
    <w:p>
      <w:pPr>
        <w:pStyle w:val="Heading1"/>
        <w:spacing w:after="200" w:before="400"/>
      </w:pPr>
      <w:r>
        <w:t xml:space="preserve">5. Engineering &amp; B2B Procurement Workflows</w:t>
      </w:r>
    </w:p>
    <w:p>
      <w:pPr>
        <w:spacing w:after="160" w:line="300"/>
      </w:pPr>
      <w:r>
        <w:rPr>
          <w:color w:val="38373A"/>
          <w:sz w:val="21"/>
          <w:szCs w:val="21"/>
        </w:rPr>
        <w:t xml:space="preserve">This is the section that differentiates the app from a generic storefront and directly answers the "beyond browse → product → cart → checkout" requirement.</w:t>
      </w:r>
    </w:p>
    <w:p>
      <w:pPr>
        <w:pStyle w:val="Heading2"/>
        <w:spacing w:after="150" w:before="300"/>
      </w:pPr>
      <w:r>
        <w:t xml:space="preserve">5.1 AI Engineering Search — /ai-search</w:t>
      </w:r>
    </w:p>
    <w:p>
      <w:pPr>
        <w:spacing w:after="160" w:line="300"/>
      </w:pPr>
      <w:r>
        <w:rPr>
          <w:color w:val="38373A"/>
          <w:sz w:val="21"/>
          <w:szCs w:val="21"/>
        </w:rPr>
        <w:t xml:space="preserve">A buyer types a plain-language requirement (e.g. "100V MOSFET suitable for automotive applications, SMD package, availability above 500"). runAiSearch() (src/features/ai/service.ts):</w:t>
      </w:r>
    </w:p>
    <w:p>
      <w:pPr>
        <w:pStyle w:val="ListParagraph"/>
        <w:numPr>
          <w:ilvl w:val="0"/>
          <w:numId w:val="2"/>
        </w:numPr>
        <w:spacing w:after="100" w:line="290"/>
      </w:pPr>
      <w:r>
        <w:rPr>
          <w:color w:val="38373A"/>
          <w:sz w:val="21"/>
          <w:szCs w:val="21"/>
        </w:rPr>
        <w:t xml:space="preserve">Parses the query with pattern matching into structured AiCriteria: product type, technology (SiC/GaN), mounting style, manufacturer, RoHS, minimum availability, maximum price, and an "application hint" (automotive/industrial/etc.).</w:t>
      </w:r>
    </w:p>
    <w:p>
      <w:pPr>
        <w:pStyle w:val="ListParagraph"/>
        <w:numPr>
          <w:ilvl w:val="0"/>
          <w:numId w:val="2"/>
        </w:numPr>
        <w:spacing w:after="100" w:line="290"/>
      </w:pPr>
      <w:r>
        <w:rPr>
          <w:color w:val="38373A"/>
          <w:sz w:val="21"/>
          <w:szCs w:val="21"/>
        </w:rPr>
        <w:t xml:space="preserve">Scores every real catalog product against those criteria and returns ranked matches with a human-readable explanation of how the query was interpreted.</w:t>
      </w:r>
    </w:p>
    <w:p>
      <w:pPr>
        <w:pStyle w:val="ListParagraph"/>
        <w:numPr>
          <w:ilvl w:val="0"/>
          <w:numId w:val="2"/>
        </w:numPr>
        <w:spacing w:after="100" w:line="290"/>
      </w:pPr>
      <w:r>
        <w:rPr>
          <w:b/>
          <w:bCs/>
          <w:color w:val="38373A"/>
          <w:sz w:val="21"/>
          <w:szCs w:val="21"/>
        </w:rPr>
        <w:t xml:space="preserve">Honest about limits: </w:t>
      </w:r>
      <w:r>
        <w:rPr>
          <w:color w:val="38373A"/>
          <w:sz w:val="21"/>
          <w:szCs w:val="21"/>
        </w:rPr>
        <w:t xml:space="preserve">anything the query mentions that the catalog has no structured field for — a voltage or current rating, RDS(on), an AEC-Q automotive qualification grade — is surfaced explicitly in an "unsupported" list and named in the explanation text, rather than silently ignored or guessed at.</w:t>
      </w:r>
    </w:p>
    <w:p>
      <w:pPr>
        <w:pStyle w:val="ListParagraph"/>
        <w:numPr>
          <w:ilvl w:val="0"/>
          <w:numId w:val="2"/>
        </w:numPr>
        <w:spacing w:after="100" w:line="290"/>
      </w:pPr>
      <w:r>
        <w:rPr>
          <w:b/>
          <w:bCs/>
          <w:color w:val="38373A"/>
          <w:sz w:val="21"/>
          <w:szCs w:val="21"/>
        </w:rPr>
        <w:t xml:space="preserve">Production seam: </w:t>
      </w:r>
      <w:r>
        <w:rPr>
          <w:color w:val="38373A"/>
          <w:sz w:val="21"/>
          <w:szCs w:val="21"/>
        </w:rPr>
        <w:t xml:space="preserve">the function signature is deliberately shaped so a real LLM/NLU function-calling endpoint returning the same AiCriteria shape could replace the pattern-matching implementation with no UI change — documented inline as the "target production architecture."</w:t>
      </w:r>
    </w:p>
    <w:p>
      <w:pPr>
        <w:pStyle w:val="Heading2"/>
        <w:spacing w:after="150" w:before="300"/>
      </w:pPr>
      <w:r>
        <w:t xml:space="preserve">5.2 BOM upload → component matching → RFQ — /bom</w:t>
      </w:r>
    </w:p>
    <w:p>
      <w:pPr>
        <w:pStyle w:val="ListParagraph"/>
        <w:numPr>
          <w:ilvl w:val="0"/>
          <w:numId w:val="2"/>
        </w:numPr>
        <w:spacing w:after="100" w:line="290"/>
      </w:pPr>
      <w:r>
        <w:rPr>
          <w:color w:val="38373A"/>
          <w:sz w:val="21"/>
          <w:szCs w:val="21"/>
        </w:rPr>
        <w:t xml:space="preserve">Real file upload (browser file picker + FileReader, no dependency) and a "Download Sample BOM" action that produces an actual downloadable CSV template, not a canned demo string.</w:t>
      </w:r>
    </w:p>
    <w:p>
      <w:pPr>
        <w:pStyle w:val="ListParagraph"/>
        <w:numPr>
          <w:ilvl w:val="0"/>
          <w:numId w:val="2"/>
        </w:numPr>
        <w:spacing w:after="100" w:line="290"/>
      </w:pPr>
      <w:r>
        <w:rPr>
          <w:color w:val="38373A"/>
          <w:sz w:val="21"/>
          <w:szCs w:val="21"/>
        </w:rPr>
        <w:t xml:space="preserve">parseBomText() reads Designator/Part Number/Quantity in several common formats; matchBomItems() matches each line against the live catalog by exact part number, with a same-family-prefix fuzzy fallback that surfaces alternative parts when no exact match exists, and an honest "unmatched" state when neither applies.</w:t>
      </w:r>
    </w:p>
    <w:p>
      <w:pPr>
        <w:pStyle w:val="ListParagraph"/>
        <w:numPr>
          <w:ilvl w:val="0"/>
          <w:numId w:val="2"/>
        </w:numPr>
        <w:spacing w:after="100" w:line="290"/>
      </w:pPr>
      <w:r>
        <w:rPr>
          <w:color w:val="38373A"/>
          <w:sz w:val="21"/>
          <w:szCs w:val="21"/>
        </w:rPr>
        <w:t xml:space="preserve">Matched/selected lines can be moved into an RFQ; results can be exported back out as CSV.</w:t>
      </w:r>
    </w:p>
    <w:p>
      <w:pPr>
        <w:pStyle w:val="ListParagraph"/>
        <w:numPr>
          <w:ilvl w:val="0"/>
          <w:numId w:val="2"/>
        </w:numPr>
        <w:spacing w:after="100" w:line="290"/>
      </w:pPr>
      <w:r>
        <w:rPr>
          <w:color w:val="38373A"/>
          <w:sz w:val="21"/>
          <w:szCs w:val="21"/>
        </w:rPr>
        <w:t xml:space="preserve">.xlsx uploads show an explicit "production BOM ingestion service required" message rather than faking a parse — an honesty choice consistent with the rest of the app.</w:t>
      </w:r>
    </w:p>
    <w:p>
      <w:pPr>
        <w:pStyle w:val="Heading2"/>
        <w:spacing w:after="150" w:before="300"/>
      </w:pPr>
      <w:r>
        <w:t xml:space="preserve">5.3 RFQ, Quote &amp; Pricing Governance</w:t>
      </w:r>
    </w:p>
    <w:p>
      <w:pPr>
        <w:spacing w:after="160" w:line="300"/>
      </w:pPr>
      <w:r>
        <w:rPr>
          <w:color w:val="38373A"/>
          <w:sz w:val="21"/>
          <w:szCs w:val="21"/>
        </w:rPr>
        <w:t xml:space="preserve">Rfq objects can originate from four sources — bom, ai-search, manual (a single-product "Request Quote" from the PDP), or cart (bulk RFQ from the cart) — tracked via RfqSource/RfqStatus (draft → submitted → quoted → approved). /rfq/[id] shows the RFQ and its lines; account → My RFQs lists RFQ history (persisted client-side).</w:t>
      </w:r>
    </w:p>
    <w:p>
      <w:pPr>
        <w:spacing w:after="160" w:line="300"/>
      </w:pPr>
      <w:r>
        <w:rPr>
          <w:color w:val="38373A"/>
          <w:sz w:val="21"/>
          <w:szCs w:val="21"/>
        </w:rPr>
        <w:t xml:space="preserve">computeGovernedPricing() (src/features/pricing/service.ts) demonstrates a real governed-pricing waterfall: Base Price → Volume Pricing Rule (tiered by quantity break) → Supplier Pricing Rule → Contract/Customer Rule → Approved Price, with every step's resulting unit price and percentage delta shown in a PricingBreakdownTable. The code comments are explicit that these are demo rates illustrating the shape of the flow, not official Millennium Digital commercial terms.</w:t>
      </w:r>
    </w:p>
    <w:p>
      <w:pPr>
        <w:pStyle w:val="Heading2"/>
        <w:spacing w:after="150" w:before="300"/>
      </w:pPr>
      <w:r>
        <w:t xml:space="preserve">5.4 Design Request — /design-request</w:t>
      </w:r>
    </w:p>
    <w:p>
      <w:pPr>
        <w:spacing w:after="160" w:line="300"/>
      </w:pPr>
      <w:r>
        <w:rPr>
          <w:color w:val="38373A"/>
          <w:sz w:val="21"/>
          <w:szCs w:val="21"/>
        </w:rPr>
        <w:t xml:space="preserve">A structured engineering intake form (project/design name, application, technical requirement, target quantity, target cost, required date, optional BOM upload, additional requirements, contact info) rather than a generic contact form — submissions get a reference number and a status (submitted → engineering_review → scoped → quoted), visible in account → My Design Requests.</w:t>
      </w:r>
    </w:p>
    <w:p>
      <w:pPr>
        <w:pStyle w:val="Heading2"/>
        <w:spacing w:after="150" w:before="300"/>
      </w:pPr>
      <w:r>
        <w:t xml:space="preserve">5.5 Engineering Workspace hub — /engineering</w:t>
      </w:r>
    </w:p>
    <w:p>
      <w:pPr>
        <w:spacing w:after="160" w:line="300"/>
      </w:pPr>
      <w:r>
        <w:rPr>
          <w:color w:val="38373A"/>
          <w:sz w:val="21"/>
          <w:szCs w:val="21"/>
        </w:rPr>
        <w:t xml:space="preserve">A landing page tying the three workflows together (AI Search, BOM/RFQ, Design Request) with a connected-journey strip, plus a link into the Innovation Lab (Section 9).</w:t>
      </w:r>
    </w:p>
    <w:p>
      <w:pPr>
        <w:pStyle w:val="Heading1"/>
        <w:spacing w:after="200" w:before="400"/>
      </w:pPr>
      <w:r>
        <w:t xml:space="preserve">6. Supplier / Admin Console</w:t>
      </w:r>
    </w:p>
    <w:p>
      <w:pPr>
        <w:spacing w:after="160" w:line="300"/>
      </w:pPr>
      <w:r>
        <w:rPr>
          <w:color w:val="38373A"/>
          <w:sz w:val="21"/>
          <w:szCs w:val="21"/>
        </w:rPr>
        <w:t xml:space="preserve">A dark-graphite enterprise console (distinct visual register from the buyer plum/white theme), reached via a separate /admin-login, with a 9-item sidebar: Dashboard, Products, Inventory, Categories, Manufacturers, Customers, Orders, Analytics, Settings.</w:t>
      </w:r>
    </w:p>
    <w:p>
      <w:pPr>
        <w:pStyle w:val="ListParagraph"/>
        <w:numPr>
          <w:ilvl w:val="0"/>
          <w:numId w:val="2"/>
        </w:numPr>
        <w:spacing w:after="100" w:line="290"/>
      </w:pPr>
      <w:r>
        <w:rPr>
          <w:color w:val="38373A"/>
          <w:sz w:val="21"/>
          <w:szCs w:val="21"/>
        </w:rPr>
        <w:t xml:space="preserve">Product management: list (/products), create (/products/new), edit (/products/[id]/edit), and a buyer-facing preview (/products/[id]/preview) before publishing — the preview step exists specifically so a Maker can see exactly what a Checker/buyer will see before submitting for review.</w:t>
      </w:r>
    </w:p>
    <w:p>
      <w:pPr>
        <w:pStyle w:val="ListParagraph"/>
        <w:numPr>
          <w:ilvl w:val="0"/>
          <w:numId w:val="2"/>
        </w:numPr>
        <w:spacing w:after="100" w:line="290"/>
      </w:pPr>
      <w:r>
        <w:rPr>
          <w:color w:val="38373A"/>
          <w:sz w:val="21"/>
          <w:szCs w:val="21"/>
        </w:rPr>
        <w:t xml:space="preserve">Inventory, Categories, Manufacturers, Customers, Orders, and Analytics each have a dedicated console page for that operational area.</w:t>
      </w:r>
    </w:p>
    <w:p>
      <w:pPr>
        <w:pStyle w:val="ListParagraph"/>
        <w:numPr>
          <w:ilvl w:val="0"/>
          <w:numId w:val="2"/>
        </w:numPr>
        <w:spacing w:after="100" w:line="290"/>
      </w:pPr>
      <w:r>
        <w:rPr>
          <w:color w:val="38373A"/>
          <w:sz w:val="21"/>
          <w:szCs w:val="21"/>
        </w:rPr>
        <w:t xml:space="preserve">Maker-Checker governance is wired into product publishing: GovernanceStage runs Draft → Submitted → Maker Validated → Checker Validated → Business Approved → Published, rendered by a shared GovernanceTracker component, with stage descriptions in the code stating explicitly that the Maker never certifies its own release — advancing to "maker_validated" represents the Maker's own build being ready for independent review, and final Go/No-Go is a separate business decision.</w:t>
      </w:r>
    </w:p>
    <w:p>
      <w:pPr>
        <w:pStyle w:val="Heading1"/>
        <w:spacing w:after="200" w:before="400"/>
      </w:pPr>
      <w:r>
        <w:t xml:space="preserve">7. Authentication &amp; Onboarding</w:t>
      </w:r>
    </w:p>
    <w:p>
      <w:pPr>
        <w:pStyle w:val="ListParagraph"/>
        <w:numPr>
          <w:ilvl w:val="0"/>
          <w:numId w:val="2"/>
        </w:numPr>
        <w:spacing w:after="100" w:line="290"/>
      </w:pPr>
      <w:r>
        <w:rPr>
          <w:color w:val="38373A"/>
          <w:sz w:val="21"/>
          <w:szCs w:val="21"/>
        </w:rPr>
        <w:t xml:space="preserve">Buyer identity: /welcome, /login, /register, /forgot-password, /reset-password, all sharing a redesigned AuthScreenShell (split branded panel + form).</w:t>
      </w:r>
    </w:p>
    <w:p>
      <w:pPr>
        <w:pStyle w:val="ListParagraph"/>
        <w:numPr>
          <w:ilvl w:val="0"/>
          <w:numId w:val="2"/>
        </w:numPr>
        <w:spacing w:after="100" w:line="290"/>
      </w:pPr>
      <w:r>
        <w:rPr>
          <w:color w:val="38373A"/>
          <w:sz w:val="21"/>
          <w:szCs w:val="21"/>
        </w:rPr>
        <w:t xml:space="preserve">/admin-login uses the same shell in a graphite tone to visually separate console access from buyer access.</w:t>
      </w:r>
    </w:p>
    <w:p>
      <w:pPr>
        <w:pStyle w:val="ListParagraph"/>
        <w:numPr>
          <w:ilvl w:val="0"/>
          <w:numId w:val="2"/>
        </w:numPr>
        <w:spacing w:after="100" w:line="290"/>
      </w:pPr>
      <w:r>
        <w:rPr>
          <w:color w:val="38373A"/>
          <w:sz w:val="21"/>
          <w:szCs w:val="21"/>
        </w:rPr>
        <w:t xml:space="preserve">/seller-register captures a supplier application (company, business type, registration number, contact, categories sold, monthly volume, location) with its own status lifecycle (submitted → verification → catalogue_setup → console_access) — the beginning of the supplier-enablement pipeline described in the governance framework.</w:t>
      </w:r>
    </w:p>
    <w:p>
      <w:pPr>
        <w:pStyle w:val="Heading1"/>
        <w:spacing w:after="200" w:before="400"/>
      </w:pPr>
      <w:r>
        <w:t xml:space="preserve">8. AI Capability Summary</w:t>
      </w:r>
    </w:p>
    <w:p>
      <w:pPr>
        <w:spacing w:after="160" w:line="300"/>
      </w:pPr>
      <w:r>
        <w:rPr>
          <w:color w:val="38373A"/>
          <w:sz w:val="21"/>
          <w:szCs w:val="21"/>
        </w:rPr>
        <w:t xml:space="preserve">Two concrete, business-relevant AI use cases exist in the current build (Section 5.1 and 5.2): natural-language engineering search, and BOM-to-component matching with alternative-part suggestion. Both are implemented as PROTOTYPE/DEMO rule-based mocks with a clearly documented interface a real AI/NLU platform could sit behind without any UI rework — this separation (AI logic never hardcoded inside a component; always behind a service function) was a deliberate architectural choice from the outset, not a retrofit.</w:t>
      </w:r>
    </w:p>
    <w:p>
      <w:pPr>
        <w:spacing w:after="160" w:line="300"/>
      </w:pPr>
      <w:r>
        <w:rPr>
          <w:color w:val="38373A"/>
          <w:sz w:val="21"/>
          <w:szCs w:val="21"/>
        </w:rPr>
        <w:t xml:space="preserve">A floating AI assistant widget is mounted globally in the buyer layout as a persistent entry point into the search experience, rather than a decorative chatbot bolted onto one page.</w:t>
      </w:r>
    </w:p>
    <w:p>
      <w:pPr>
        <w:pStyle w:val="Heading1"/>
        <w:spacing w:after="200" w:before="400"/>
      </w:pPr>
      <w:r>
        <w:t xml:space="preserve">9. Innovation Lab — AR/VR Roadmap</w:t>
      </w:r>
    </w:p>
    <w:p>
      <w:pPr>
        <w:spacing w:after="160" w:line="300"/>
      </w:pPr>
      <w:r>
        <w:rPr>
          <w:color w:val="38373A"/>
          <w:sz w:val="21"/>
          <w:szCs w:val="21"/>
        </w:rPr>
        <w:t xml:space="preserve">/engineering/innovation-lab presents four forward-looking concepts — AR component identification via camera, 3D product visualization, visual/photo-based component lookup, and immersive warehouse/logistics visualization — each with a visible "Roadmap concept — not implemented in this prototype" badge. This page exists to demonstrate awareness of the AR/VR opportunity the client asked about without pulling engineering effort away from the core B2B commerce workflows, and without ever implying these are shipped features.</w:t>
      </w:r>
    </w:p>
    <w:p>
      <w:pPr>
        <w:pStyle w:val="Heading1"/>
        <w:spacing w:after="200" w:before="400"/>
      </w:pPr>
      <w:r>
        <w:t xml:space="preserve">10. Product Data Foundation</w:t>
      </w:r>
    </w:p>
    <w:p>
      <w:pPr>
        <w:spacing w:after="160" w:line="300"/>
      </w:pPr>
      <w:r>
        <w:rPr>
          <w:color w:val="38373A"/>
          <w:sz w:val="21"/>
          <w:szCs w:val="21"/>
        </w:rPr>
        <w:t xml:space="preserve">assets/data/products.json is the single source of truth for product content across the entire app — 138 real parts, 12 manufacturers, 7 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93386C" w:color="auto" w:val="clear"/>
            <w:tcMar>
              <w:top w:type="dxa" w:w="80"/>
              <w:left w:type="dxa" w:w="100"/>
              <w:bottom w:type="dxa" w:w="80"/>
              <w:right w:type="dxa" w:w="100"/>
            </w:tcMar>
          </w:tcPr>
          <w:p>
            <w:r>
              <w:rPr>
                <w:b/>
                <w:bCs/>
                <w:color w:val="FFFFFF"/>
                <w:sz w:val="19"/>
                <w:szCs w:val="19"/>
              </w:rPr>
              <w:t xml:space="preserve">Category</w:t>
            </w:r>
          </w:p>
        </w:tc>
        <w:tc>
          <w:tcPr>
            <w:tcW w:type="dxa" w:w="5400"/>
            <w:shd w:fill="93386C" w:color="auto" w:val="clear"/>
            <w:tcMar>
              <w:top w:type="dxa" w:w="80"/>
              <w:left w:type="dxa" w:w="100"/>
              <w:bottom w:type="dxa" w:w="80"/>
              <w:right w:type="dxa" w:w="100"/>
            </w:tcMar>
          </w:tcPr>
          <w:p>
            <w:r>
              <w:rPr>
                <w:b/>
                <w:bCs/>
                <w:color w:val="FFFFFF"/>
                <w:sz w:val="19"/>
                <w:szCs w:val="19"/>
              </w:rPr>
              <w:t xml:space="preserve">Product count</w:t>
            </w:r>
          </w:p>
        </w:tc>
      </w:tr>
      <w:tr>
        <w:tc>
          <w:tcPr>
            <w:tcW w:type="dxa" w:w="4000"/>
            <w:tcMar>
              <w:top w:type="dxa" w:w="70"/>
              <w:left w:type="dxa" w:w="100"/>
              <w:bottom w:type="dxa" w:w="70"/>
              <w:right w:type="dxa" w:w="100"/>
            </w:tcMar>
          </w:tcPr>
          <w:p>
            <w:r>
              <w:rPr>
                <w:color w:val="38373A"/>
                <w:sz w:val="19"/>
                <w:szCs w:val="19"/>
              </w:rPr>
              <w:t xml:space="preserve">Semiconductors</w:t>
            </w:r>
          </w:p>
        </w:tc>
        <w:tc>
          <w:tcPr>
            <w:tcW w:type="dxa" w:w="5400"/>
            <w:tcMar>
              <w:top w:type="dxa" w:w="70"/>
              <w:left w:type="dxa" w:w="100"/>
              <w:bottom w:type="dxa" w:w="70"/>
              <w:right w:type="dxa" w:w="100"/>
            </w:tcMar>
          </w:tcPr>
          <w:p>
            <w:r>
              <w:rPr>
                <w:color w:val="38373A"/>
                <w:sz w:val="19"/>
                <w:szCs w:val="19"/>
              </w:rPr>
              <w:t xml:space="preserve">125</w:t>
            </w:r>
          </w:p>
        </w:tc>
      </w:tr>
      <w:tr>
        <w:tc>
          <w:tcPr>
            <w:tcW w:type="dxa" w:w="4000"/>
            <w:tcMar>
              <w:top w:type="dxa" w:w="70"/>
              <w:left w:type="dxa" w:w="100"/>
              <w:bottom w:type="dxa" w:w="70"/>
              <w:right w:type="dxa" w:w="100"/>
            </w:tcMar>
          </w:tcPr>
          <w:p>
            <w:r>
              <w:rPr>
                <w:color w:val="38373A"/>
                <w:sz w:val="19"/>
                <w:szCs w:val="19"/>
              </w:rPr>
              <w:t xml:space="preserve">Sensors</w:t>
            </w:r>
          </w:p>
        </w:tc>
        <w:tc>
          <w:tcPr>
            <w:tcW w:type="dxa" w:w="5400"/>
            <w:tcMar>
              <w:top w:type="dxa" w:w="70"/>
              <w:left w:type="dxa" w:w="100"/>
              <w:bottom w:type="dxa" w:w="70"/>
              <w:right w:type="dxa" w:w="100"/>
            </w:tcMar>
          </w:tcPr>
          <w:p>
            <w:r>
              <w:rPr>
                <w:color w:val="38373A"/>
                <w:sz w:val="19"/>
                <w:szCs w:val="19"/>
              </w:rPr>
              <w:t xml:space="preserve">5</w:t>
            </w:r>
          </w:p>
        </w:tc>
      </w:tr>
      <w:tr>
        <w:tc>
          <w:tcPr>
            <w:tcW w:type="dxa" w:w="4000"/>
            <w:tcMar>
              <w:top w:type="dxa" w:w="70"/>
              <w:left w:type="dxa" w:w="100"/>
              <w:bottom w:type="dxa" w:w="70"/>
              <w:right w:type="dxa" w:w="100"/>
            </w:tcMar>
          </w:tcPr>
          <w:p>
            <w:r>
              <w:rPr>
                <w:color w:val="38373A"/>
                <w:sz w:val="19"/>
                <w:szCs w:val="19"/>
              </w:rPr>
              <w:t xml:space="preserve">Tools &amp; Supplies</w:t>
            </w:r>
          </w:p>
        </w:tc>
        <w:tc>
          <w:tcPr>
            <w:tcW w:type="dxa" w:w="5400"/>
            <w:tcMar>
              <w:top w:type="dxa" w:w="70"/>
              <w:left w:type="dxa" w:w="100"/>
              <w:bottom w:type="dxa" w:w="70"/>
              <w:right w:type="dxa" w:w="100"/>
            </w:tcMar>
          </w:tcPr>
          <w:p>
            <w:r>
              <w:rPr>
                <w:color w:val="38373A"/>
                <w:sz w:val="19"/>
                <w:szCs w:val="19"/>
              </w:rPr>
              <w:t xml:space="preserve">3</w:t>
            </w:r>
          </w:p>
        </w:tc>
      </w:tr>
      <w:tr>
        <w:tc>
          <w:tcPr>
            <w:tcW w:type="dxa" w:w="4000"/>
            <w:tcMar>
              <w:top w:type="dxa" w:w="70"/>
              <w:left w:type="dxa" w:w="100"/>
              <w:bottom w:type="dxa" w:w="70"/>
              <w:right w:type="dxa" w:w="100"/>
            </w:tcMar>
          </w:tcPr>
          <w:p>
            <w:r>
              <w:rPr>
                <w:color w:val="38373A"/>
                <w:sz w:val="19"/>
                <w:szCs w:val="19"/>
              </w:rPr>
              <w:t xml:space="preserve">Passive Components</w:t>
            </w:r>
          </w:p>
        </w:tc>
        <w:tc>
          <w:tcPr>
            <w:tcW w:type="dxa" w:w="5400"/>
            <w:tcMar>
              <w:top w:type="dxa" w:w="70"/>
              <w:left w:type="dxa" w:w="100"/>
              <w:bottom w:type="dxa" w:w="70"/>
              <w:right w:type="dxa" w:w="100"/>
            </w:tcMar>
          </w:tcPr>
          <w:p>
            <w:r>
              <w:rPr>
                <w:color w:val="38373A"/>
                <w:sz w:val="19"/>
                <w:szCs w:val="19"/>
              </w:rPr>
              <w:t xml:space="preserve">2</w:t>
            </w:r>
          </w:p>
        </w:tc>
      </w:tr>
      <w:tr>
        <w:tc>
          <w:tcPr>
            <w:tcW w:type="dxa" w:w="4000"/>
            <w:tcMar>
              <w:top w:type="dxa" w:w="70"/>
              <w:left w:type="dxa" w:w="100"/>
              <w:bottom w:type="dxa" w:w="70"/>
              <w:right w:type="dxa" w:w="100"/>
            </w:tcMar>
          </w:tcPr>
          <w:p>
            <w:r>
              <w:rPr>
                <w:color w:val="38373A"/>
                <w:sz w:val="19"/>
                <w:szCs w:val="19"/>
              </w:rPr>
              <w:t xml:space="preserve">Wire &amp; Cable</w:t>
            </w:r>
          </w:p>
        </w:tc>
        <w:tc>
          <w:tcPr>
            <w:tcW w:type="dxa" w:w="5400"/>
            <w:tcMar>
              <w:top w:type="dxa" w:w="70"/>
              <w:left w:type="dxa" w:w="100"/>
              <w:bottom w:type="dxa" w:w="70"/>
              <w:right w:type="dxa" w:w="100"/>
            </w:tcMar>
          </w:tcPr>
          <w:p>
            <w:r>
              <w:rPr>
                <w:color w:val="38373A"/>
                <w:sz w:val="19"/>
                <w:szCs w:val="19"/>
              </w:rPr>
              <w:t xml:space="preserve">1</w:t>
            </w:r>
          </w:p>
        </w:tc>
      </w:tr>
      <w:tr>
        <w:tc>
          <w:tcPr>
            <w:tcW w:type="dxa" w:w="4000"/>
            <w:tcMar>
              <w:top w:type="dxa" w:w="70"/>
              <w:left w:type="dxa" w:w="100"/>
              <w:bottom w:type="dxa" w:w="70"/>
              <w:right w:type="dxa" w:w="100"/>
            </w:tcMar>
          </w:tcPr>
          <w:p>
            <w:r>
              <w:rPr>
                <w:color w:val="38373A"/>
                <w:sz w:val="19"/>
                <w:szCs w:val="19"/>
              </w:rPr>
              <w:t xml:space="preserve">Connectors</w:t>
            </w:r>
          </w:p>
        </w:tc>
        <w:tc>
          <w:tcPr>
            <w:tcW w:type="dxa" w:w="5400"/>
            <w:tcMar>
              <w:top w:type="dxa" w:w="70"/>
              <w:left w:type="dxa" w:w="100"/>
              <w:bottom w:type="dxa" w:w="70"/>
              <w:right w:type="dxa" w:w="100"/>
            </w:tcMar>
          </w:tcPr>
          <w:p>
            <w:r>
              <w:rPr>
                <w:color w:val="38373A"/>
                <w:sz w:val="19"/>
                <w:szCs w:val="19"/>
              </w:rPr>
              <w:t xml:space="preserve">1</w:t>
            </w:r>
          </w:p>
        </w:tc>
      </w:tr>
      <w:tr>
        <w:tc>
          <w:tcPr>
            <w:tcW w:type="dxa" w:w="4000"/>
            <w:tcMar>
              <w:top w:type="dxa" w:w="70"/>
              <w:left w:type="dxa" w:w="100"/>
              <w:bottom w:type="dxa" w:w="70"/>
              <w:right w:type="dxa" w:w="100"/>
            </w:tcMar>
          </w:tcPr>
          <w:p>
            <w:r>
              <w:rPr>
                <w:color w:val="38373A"/>
                <w:sz w:val="19"/>
                <w:szCs w:val="19"/>
              </w:rPr>
              <w:t xml:space="preserve">Embedded Solutions</w:t>
            </w:r>
          </w:p>
        </w:tc>
        <w:tc>
          <w:tcPr>
            <w:tcW w:type="dxa" w:w="5400"/>
            <w:tcMar>
              <w:top w:type="dxa" w:w="70"/>
              <w:left w:type="dxa" w:w="100"/>
              <w:bottom w:type="dxa" w:w="70"/>
              <w:right w:type="dxa" w:w="100"/>
            </w:tcMar>
          </w:tcPr>
          <w:p>
            <w:r>
              <w:rPr>
                <w:color w:val="38373A"/>
                <w:sz w:val="19"/>
                <w:szCs w:val="19"/>
              </w:rPr>
              <w:t xml:space="preserve">1</w:t>
            </w:r>
          </w:p>
        </w:tc>
      </w:tr>
    </w:tbl>
    <w:p>
      <w:pPr>
        <w:spacing w:after="160" w:line="300"/>
      </w:pPr>
      <w:r>
        <w:rPr>
          <w:color w:val="38373A"/>
          <w:sz w:val="21"/>
          <w:szCs w:val="21"/>
        </w:rPr>
        <w:t xml:space="preserve">Top manufacturers by SKU count: Vishay Semiconductors (104), Infineon Technologies (12), Melexis (9), Littelfuse (3), with 8 more manufacturers represented at smaller counts.</w:t>
      </w:r>
    </w:p>
    <w:p>
      <w:pPr>
        <w:spacing w:after="160" w:line="300"/>
      </w:pPr>
      <w:r>
        <w:rPr>
          <w:color w:val="38373A"/>
          <w:sz w:val="21"/>
          <w:szCs w:val="21"/>
        </w:rPr>
        <w:t xml:space="preserve">src/constants/masterCategoryTaxonomy.ts holds a reference classification tree sourced from real Mouser.in category-page data (Semiconductors, Connectors, Circuit Protection), used only to map productType values that actually exist in the catalog to industry-standard subcategory names — generic/ambiguous productType values are deliberately left unmapped rather than guessed, and the Circuit Protection branch is not surfaced anywhere in navigation because the catalog currently has zero real products in that category (avoiding a dead-end browsing path).</w:t>
      </w:r>
    </w:p>
    <w:p>
      <w:pPr>
        <w:spacing w:after="160" w:line="300"/>
      </w:pPr>
      <w:r>
        <w:rPr>
          <w:color w:val="38373A"/>
          <w:sz w:val="21"/>
          <w:szCs w:val="21"/>
        </w:rPr>
        <w:t xml:space="preserve">Fields respected everywhere in the UI: id, mouserPartNumber, manufacturerPartNumber, manufacturer, manufacturerLogo, title, description, datasheet, productUrl, availability, stockStatus, price, currency, rohs, rohsLabel, lifecycle, productType, technology, mountingStyle, package, quantity, category, stockType, image, tags. No technical specification is ever invented when the underlying field is empty.</w:t>
      </w:r>
    </w:p>
    <w:p>
      <w:pPr>
        <w:pStyle w:val="Heading1"/>
        <w:spacing w:after="200" w:before="400"/>
      </w:pPr>
      <w:r>
        <w:t xml:space="preserve">11. Governance &amp; Roadmap Alignment</w:t>
      </w:r>
    </w:p>
    <w:p>
      <w:pPr>
        <w:pStyle w:val="Heading2"/>
        <w:spacing w:after="150" w:before="300"/>
      </w:pPr>
      <w:r>
        <w:t xml:space="preserve">11.1 Maker-Checker governance</w:t>
      </w:r>
    </w:p>
    <w:p>
      <w:pPr>
        <w:spacing w:after="160" w:line="300"/>
      </w:pPr>
      <w:r>
        <w:rPr>
          <w:color w:val="38373A"/>
          <w:sz w:val="21"/>
          <w:szCs w:val="21"/>
        </w:rPr>
        <w:t xml:space="preserve">Implemented as a first-class concept (GovernanceStage, GovernanceRecord, GovernanceHistoryEntry types; a dedicated governanceStore and GovernanceTracker component) rather than a cosmetic label — see Section 6.</w:t>
      </w:r>
    </w:p>
    <w:p>
      <w:pPr>
        <w:pStyle w:val="Heading2"/>
        <w:spacing w:after="150" w:before="300"/>
      </w:pPr>
      <w:r>
        <w:t xml:space="preserve">11.2 Priority alignment (per the governance framework's P0/P1/P2 ordering)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93386C" w:color="auto" w:val="clear"/>
            <w:tcMar>
              <w:top w:type="dxa" w:w="80"/>
              <w:left w:type="dxa" w:w="100"/>
              <w:bottom w:type="dxa" w:w="80"/>
              <w:right w:type="dxa" w:w="100"/>
            </w:tcMar>
          </w:tcPr>
          <w:p>
            <w:r>
              <w:rPr>
                <w:b/>
                <w:bCs/>
                <w:color w:val="FFFFFF"/>
                <w:sz w:val="19"/>
                <w:szCs w:val="19"/>
              </w:rPr>
              <w:t xml:space="preserve">Priority item</w:t>
            </w:r>
          </w:p>
        </w:tc>
        <w:tc>
          <w:tcPr>
            <w:tcW w:type="dxa" w:w="4800"/>
            <w:shd w:fill="93386C" w:color="auto" w:val="clear"/>
            <w:tcMar>
              <w:top w:type="dxa" w:w="80"/>
              <w:left w:type="dxa" w:w="100"/>
              <w:bottom w:type="dxa" w:w="80"/>
              <w:right w:type="dxa" w:w="100"/>
            </w:tcMar>
          </w:tcPr>
          <w:p>
            <w:r>
              <w:rPr>
                <w:b/>
                <w:bCs/>
                <w:color w:val="FFFFFF"/>
                <w:sz w:val="19"/>
                <w:szCs w:val="19"/>
              </w:rPr>
              <w:t xml:space="preserve">Status in this build</w:t>
            </w:r>
          </w:p>
        </w:tc>
      </w:tr>
      <w:tr>
        <w:tc>
          <w:tcPr>
            <w:tcW w:type="dxa" w:w="4600"/>
            <w:tcMar>
              <w:top w:type="dxa" w:w="70"/>
              <w:left w:type="dxa" w:w="100"/>
              <w:bottom w:type="dxa" w:w="70"/>
              <w:right w:type="dxa" w:w="100"/>
            </w:tcMar>
          </w:tcPr>
          <w:p>
            <w:r>
              <w:rPr>
                <w:color w:val="38373A"/>
                <w:sz w:val="19"/>
                <w:szCs w:val="19"/>
              </w:rPr>
              <w:t xml:space="preserve">Premium landing experience</w:t>
            </w:r>
          </w:p>
        </w:tc>
        <w:tc>
          <w:tcPr>
            <w:tcW w:type="dxa" w:w="4800"/>
            <w:tcMar>
              <w:top w:type="dxa" w:w="70"/>
              <w:left w:type="dxa" w:w="100"/>
              <w:bottom w:type="dxa" w:w="70"/>
              <w:right w:type="dxa" w:w="100"/>
            </w:tcMar>
          </w:tcPr>
          <w:p>
            <w:r>
              <w:rPr>
                <w:color w:val="38373A"/>
                <w:sz w:val="19"/>
                <w:szCs w:val="19"/>
              </w:rPr>
              <w:t xml:space="preserve">Delivered — Section 4.1</w:t>
            </w:r>
          </w:p>
        </w:tc>
      </w:tr>
      <w:tr>
        <w:tc>
          <w:tcPr>
            <w:tcW w:type="dxa" w:w="4600"/>
            <w:tcMar>
              <w:top w:type="dxa" w:w="70"/>
              <w:left w:type="dxa" w:w="100"/>
              <w:bottom w:type="dxa" w:w="70"/>
              <w:right w:type="dxa" w:w="100"/>
            </w:tcMar>
          </w:tcPr>
          <w:p>
            <w:r>
              <w:rPr>
                <w:color w:val="38373A"/>
                <w:sz w:val="19"/>
                <w:szCs w:val="19"/>
              </w:rPr>
              <w:t xml:space="preserve">Parametric engineering category</w:t>
            </w:r>
          </w:p>
        </w:tc>
        <w:tc>
          <w:tcPr>
            <w:tcW w:type="dxa" w:w="4800"/>
            <w:tcMar>
              <w:top w:type="dxa" w:w="70"/>
              <w:left w:type="dxa" w:w="100"/>
              <w:bottom w:type="dxa" w:w="70"/>
              <w:right w:type="dxa" w:w="100"/>
            </w:tcMar>
          </w:tcPr>
          <w:p>
            <w:r>
              <w:rPr>
                <w:color w:val="38373A"/>
                <w:sz w:val="19"/>
                <w:szCs w:val="19"/>
              </w:rPr>
              <w:t xml:space="preserve">Delivered — Section 4.2</w:t>
            </w:r>
          </w:p>
        </w:tc>
      </w:tr>
      <w:tr>
        <w:tc>
          <w:tcPr>
            <w:tcW w:type="dxa" w:w="4600"/>
            <w:tcMar>
              <w:top w:type="dxa" w:w="70"/>
              <w:left w:type="dxa" w:w="100"/>
              <w:bottom w:type="dxa" w:w="70"/>
              <w:right w:type="dxa" w:w="100"/>
            </w:tcMar>
          </w:tcPr>
          <w:p>
            <w:r>
              <w:rPr>
                <w:color w:val="38373A"/>
                <w:sz w:val="19"/>
                <w:szCs w:val="19"/>
              </w:rPr>
              <w:t xml:space="preserve">Supplier/manufacturer experience</w:t>
            </w:r>
          </w:p>
        </w:tc>
        <w:tc>
          <w:tcPr>
            <w:tcW w:type="dxa" w:w="4800"/>
            <w:tcMar>
              <w:top w:type="dxa" w:w="70"/>
              <w:left w:type="dxa" w:w="100"/>
              <w:bottom w:type="dxa" w:w="70"/>
              <w:right w:type="dxa" w:w="100"/>
            </w:tcMar>
          </w:tcPr>
          <w:p>
            <w:r>
              <w:rPr>
                <w:color w:val="38373A"/>
                <w:sz w:val="19"/>
                <w:szCs w:val="19"/>
              </w:rPr>
              <w:t xml:space="preserve">Delivered — Section 4.3</w:t>
            </w:r>
          </w:p>
        </w:tc>
      </w:tr>
      <w:tr>
        <w:tc>
          <w:tcPr>
            <w:tcW w:type="dxa" w:w="4600"/>
            <w:tcMar>
              <w:top w:type="dxa" w:w="70"/>
              <w:left w:type="dxa" w:w="100"/>
              <w:bottom w:type="dxa" w:w="70"/>
              <w:right w:type="dxa" w:w="100"/>
            </w:tcMar>
          </w:tcPr>
          <w:p>
            <w:r>
              <w:rPr>
                <w:color w:val="38373A"/>
                <w:sz w:val="19"/>
                <w:szCs w:val="19"/>
              </w:rPr>
              <w:t xml:space="preserve">Design request</w:t>
            </w:r>
          </w:p>
        </w:tc>
        <w:tc>
          <w:tcPr>
            <w:tcW w:type="dxa" w:w="4800"/>
            <w:tcMar>
              <w:top w:type="dxa" w:w="70"/>
              <w:left w:type="dxa" w:w="100"/>
              <w:bottom w:type="dxa" w:w="70"/>
              <w:right w:type="dxa" w:w="100"/>
            </w:tcMar>
          </w:tcPr>
          <w:p>
            <w:r>
              <w:rPr>
                <w:color w:val="38373A"/>
                <w:sz w:val="19"/>
                <w:szCs w:val="19"/>
              </w:rPr>
              <w:t xml:space="preserve">Delivered — Section 5.4</w:t>
            </w:r>
          </w:p>
        </w:tc>
      </w:tr>
      <w:tr>
        <w:tc>
          <w:tcPr>
            <w:tcW w:type="dxa" w:w="4600"/>
            <w:tcMar>
              <w:top w:type="dxa" w:w="70"/>
              <w:left w:type="dxa" w:w="100"/>
              <w:bottom w:type="dxa" w:w="70"/>
              <w:right w:type="dxa" w:w="100"/>
            </w:tcMar>
          </w:tcPr>
          <w:p>
            <w:r>
              <w:rPr>
                <w:color w:val="38373A"/>
                <w:sz w:val="19"/>
                <w:szCs w:val="19"/>
              </w:rPr>
              <w:t xml:space="preserve">BOM upload &amp; processing</w:t>
            </w:r>
          </w:p>
        </w:tc>
        <w:tc>
          <w:tcPr>
            <w:tcW w:type="dxa" w:w="4800"/>
            <w:tcMar>
              <w:top w:type="dxa" w:w="70"/>
              <w:left w:type="dxa" w:w="100"/>
              <w:bottom w:type="dxa" w:w="70"/>
              <w:right w:type="dxa" w:w="100"/>
            </w:tcMar>
          </w:tcPr>
          <w:p>
            <w:r>
              <w:rPr>
                <w:color w:val="38373A"/>
                <w:sz w:val="19"/>
                <w:szCs w:val="19"/>
              </w:rPr>
              <w:t xml:space="preserve">Delivered — Section 5.2</w:t>
            </w:r>
          </w:p>
        </w:tc>
      </w:tr>
      <w:tr>
        <w:tc>
          <w:tcPr>
            <w:tcW w:type="dxa" w:w="4600"/>
            <w:tcMar>
              <w:top w:type="dxa" w:w="70"/>
              <w:left w:type="dxa" w:w="100"/>
              <w:bottom w:type="dxa" w:w="70"/>
              <w:right w:type="dxa" w:w="100"/>
            </w:tcMar>
          </w:tcPr>
          <w:p>
            <w:r>
              <w:rPr>
                <w:color w:val="38373A"/>
                <w:sz w:val="19"/>
                <w:szCs w:val="19"/>
              </w:rPr>
              <w:t xml:space="preserve">BOM component matching</w:t>
            </w:r>
          </w:p>
        </w:tc>
        <w:tc>
          <w:tcPr>
            <w:tcW w:type="dxa" w:w="4800"/>
            <w:tcMar>
              <w:top w:type="dxa" w:w="70"/>
              <w:left w:type="dxa" w:w="100"/>
              <w:bottom w:type="dxa" w:w="70"/>
              <w:right w:type="dxa" w:w="100"/>
            </w:tcMar>
          </w:tcPr>
          <w:p>
            <w:r>
              <w:rPr>
                <w:color w:val="38373A"/>
                <w:sz w:val="19"/>
                <w:szCs w:val="19"/>
              </w:rPr>
              <w:t xml:space="preserve">Delivered — Section 5.2</w:t>
            </w:r>
          </w:p>
        </w:tc>
      </w:tr>
      <w:tr>
        <w:tc>
          <w:tcPr>
            <w:tcW w:type="dxa" w:w="4600"/>
            <w:tcMar>
              <w:top w:type="dxa" w:w="70"/>
              <w:left w:type="dxa" w:w="100"/>
              <w:bottom w:type="dxa" w:w="70"/>
              <w:right w:type="dxa" w:w="100"/>
            </w:tcMar>
          </w:tcPr>
          <w:p>
            <w:r>
              <w:rPr>
                <w:color w:val="38373A"/>
                <w:sz w:val="19"/>
                <w:szCs w:val="19"/>
              </w:rPr>
              <w:t xml:space="preserve">RFQ</w:t>
            </w:r>
          </w:p>
        </w:tc>
        <w:tc>
          <w:tcPr>
            <w:tcW w:type="dxa" w:w="4800"/>
            <w:tcMar>
              <w:top w:type="dxa" w:w="70"/>
              <w:left w:type="dxa" w:w="100"/>
              <w:bottom w:type="dxa" w:w="70"/>
              <w:right w:type="dxa" w:w="100"/>
            </w:tcMar>
          </w:tcPr>
          <w:p>
            <w:r>
              <w:rPr>
                <w:color w:val="38373A"/>
                <w:sz w:val="19"/>
                <w:szCs w:val="19"/>
              </w:rPr>
              <w:t xml:space="preserve">Delivered — Section 5.3</w:t>
            </w:r>
          </w:p>
        </w:tc>
      </w:tr>
      <w:tr>
        <w:tc>
          <w:tcPr>
            <w:tcW w:type="dxa" w:w="4600"/>
            <w:tcMar>
              <w:top w:type="dxa" w:w="70"/>
              <w:left w:type="dxa" w:w="100"/>
              <w:bottom w:type="dxa" w:w="70"/>
              <w:right w:type="dxa" w:w="100"/>
            </w:tcMar>
          </w:tcPr>
          <w:p>
            <w:r>
              <w:rPr>
                <w:color w:val="38373A"/>
                <w:sz w:val="19"/>
                <w:szCs w:val="19"/>
              </w:rPr>
              <w:t xml:space="preserve">Pricing-governed cart</w:t>
            </w:r>
          </w:p>
        </w:tc>
        <w:tc>
          <w:tcPr>
            <w:tcW w:type="dxa" w:w="4800"/>
            <w:tcMar>
              <w:top w:type="dxa" w:w="70"/>
              <w:left w:type="dxa" w:w="100"/>
              <w:bottom w:type="dxa" w:w="70"/>
              <w:right w:type="dxa" w:w="100"/>
            </w:tcMar>
          </w:tcPr>
          <w:p>
            <w:r>
              <w:rPr>
                <w:color w:val="38373A"/>
                <w:sz w:val="19"/>
                <w:szCs w:val="19"/>
              </w:rPr>
              <w:t xml:space="preserve">Delivered — governed pricing waterfall; cart itself uses list price, RFQ path shows the governed breakdown</w:t>
            </w:r>
          </w:p>
        </w:tc>
      </w:tr>
      <w:tr>
        <w:tc>
          <w:tcPr>
            <w:tcW w:type="dxa" w:w="4600"/>
            <w:tcMar>
              <w:top w:type="dxa" w:w="70"/>
              <w:left w:type="dxa" w:w="100"/>
              <w:bottom w:type="dxa" w:w="70"/>
              <w:right w:type="dxa" w:w="100"/>
            </w:tcMar>
          </w:tcPr>
          <w:p>
            <w:r>
              <w:rPr>
                <w:color w:val="38373A"/>
                <w:sz w:val="19"/>
                <w:szCs w:val="19"/>
              </w:rPr>
              <w:t xml:space="preserve">Supplier portal</w:t>
            </w:r>
          </w:p>
        </w:tc>
        <w:tc>
          <w:tcPr>
            <w:tcW w:type="dxa" w:w="4800"/>
            <w:tcMar>
              <w:top w:type="dxa" w:w="70"/>
              <w:left w:type="dxa" w:w="100"/>
              <w:bottom w:type="dxa" w:w="70"/>
              <w:right w:type="dxa" w:w="100"/>
            </w:tcMar>
          </w:tcPr>
          <w:p>
            <w:r>
              <w:rPr>
                <w:color w:val="38373A"/>
                <w:sz w:val="19"/>
                <w:szCs w:val="19"/>
              </w:rPr>
              <w:t xml:space="preserve">Delivered — Section 6</w:t>
            </w:r>
          </w:p>
        </w:tc>
      </w:tr>
      <w:tr>
        <w:tc>
          <w:tcPr>
            <w:tcW w:type="dxa" w:w="4600"/>
            <w:tcMar>
              <w:top w:type="dxa" w:w="70"/>
              <w:left w:type="dxa" w:w="100"/>
              <w:bottom w:type="dxa" w:w="70"/>
              <w:right w:type="dxa" w:w="100"/>
            </w:tcMar>
          </w:tcPr>
          <w:p>
            <w:r>
              <w:rPr>
                <w:color w:val="38373A"/>
                <w:sz w:val="19"/>
                <w:szCs w:val="19"/>
              </w:rPr>
              <w:t xml:space="preserve">Maker-Checker governance</w:t>
            </w:r>
          </w:p>
        </w:tc>
        <w:tc>
          <w:tcPr>
            <w:tcW w:type="dxa" w:w="4800"/>
            <w:tcMar>
              <w:top w:type="dxa" w:w="70"/>
              <w:left w:type="dxa" w:w="100"/>
              <w:bottom w:type="dxa" w:w="70"/>
              <w:right w:type="dxa" w:w="100"/>
            </w:tcMar>
          </w:tcPr>
          <w:p>
            <w:r>
              <w:rPr>
                <w:color w:val="38373A"/>
                <w:sz w:val="19"/>
                <w:szCs w:val="19"/>
              </w:rPr>
              <w:t xml:space="preserve">Delivered — Section 6, 11.1</w:t>
            </w:r>
          </w:p>
        </w:tc>
      </w:tr>
      <w:tr>
        <w:tc>
          <w:tcPr>
            <w:tcW w:type="dxa" w:w="4600"/>
            <w:tcMar>
              <w:top w:type="dxa" w:w="70"/>
              <w:left w:type="dxa" w:w="100"/>
              <w:bottom w:type="dxa" w:w="70"/>
              <w:right w:type="dxa" w:w="100"/>
            </w:tcMar>
          </w:tcPr>
          <w:p>
            <w:r>
              <w:rPr>
                <w:color w:val="38373A"/>
                <w:sz w:val="19"/>
                <w:szCs w:val="19"/>
              </w:rPr>
              <w:t xml:space="preserve">Order tracking</w:t>
            </w:r>
          </w:p>
        </w:tc>
        <w:tc>
          <w:tcPr>
            <w:tcW w:type="dxa" w:w="4800"/>
            <w:tcMar>
              <w:top w:type="dxa" w:w="70"/>
              <w:left w:type="dxa" w:w="100"/>
              <w:bottom w:type="dxa" w:w="70"/>
              <w:right w:type="dxa" w:w="100"/>
            </w:tcMar>
          </w:tcPr>
          <w:p>
            <w:r>
              <w:rPr>
                <w:color w:val="38373A"/>
                <w:sz w:val="19"/>
                <w:szCs w:val="19"/>
              </w:rPr>
              <w:t xml:space="preserve">Delivered — Section 4.6, prototype logistics simulation</w:t>
            </w:r>
          </w:p>
        </w:tc>
      </w:tr>
      <w:tr>
        <w:tc>
          <w:tcPr>
            <w:tcW w:type="dxa" w:w="4600"/>
            <w:tcMar>
              <w:top w:type="dxa" w:w="70"/>
              <w:left w:type="dxa" w:w="100"/>
              <w:bottom w:type="dxa" w:w="70"/>
              <w:right w:type="dxa" w:w="100"/>
            </w:tcMar>
          </w:tcPr>
          <w:p>
            <w:r>
              <w:rPr>
                <w:color w:val="38373A"/>
                <w:sz w:val="19"/>
                <w:szCs w:val="19"/>
              </w:rPr>
              <w:t xml:space="preserve">AI-powered engineering experience</w:t>
            </w:r>
          </w:p>
        </w:tc>
        <w:tc>
          <w:tcPr>
            <w:tcW w:type="dxa" w:w="4800"/>
            <w:tcMar>
              <w:top w:type="dxa" w:w="70"/>
              <w:left w:type="dxa" w:w="100"/>
              <w:bottom w:type="dxa" w:w="70"/>
              <w:right w:type="dxa" w:w="100"/>
            </w:tcMar>
          </w:tcPr>
          <w:p>
            <w:r>
              <w:rPr>
                <w:color w:val="38373A"/>
                <w:sz w:val="19"/>
                <w:szCs w:val="19"/>
              </w:rPr>
              <w:t xml:space="preserve">Delivered — Section 5.1, 8</w:t>
            </w:r>
          </w:p>
        </w:tc>
      </w:tr>
      <w:tr>
        <w:tc>
          <w:tcPr>
            <w:tcW w:type="dxa" w:w="4600"/>
            <w:tcMar>
              <w:top w:type="dxa" w:w="70"/>
              <w:left w:type="dxa" w:w="100"/>
              <w:bottom w:type="dxa" w:w="70"/>
              <w:right w:type="dxa" w:w="100"/>
            </w:tcMar>
          </w:tcPr>
          <w:p>
            <w:r>
              <w:rPr>
                <w:color w:val="38373A"/>
                <w:sz w:val="19"/>
                <w:szCs w:val="19"/>
              </w:rPr>
              <w:t xml:space="preserve">Product comparison / advanced filtering</w:t>
            </w:r>
          </w:p>
        </w:tc>
        <w:tc>
          <w:tcPr>
            <w:tcW w:type="dxa" w:w="4800"/>
            <w:tcMar>
              <w:top w:type="dxa" w:w="70"/>
              <w:left w:type="dxa" w:w="100"/>
              <w:bottom w:type="dxa" w:w="70"/>
              <w:right w:type="dxa" w:w="100"/>
            </w:tcMar>
          </w:tcPr>
          <w:p>
            <w:r>
              <w:rPr>
                <w:color w:val="38373A"/>
                <w:sz w:val="19"/>
                <w:szCs w:val="19"/>
              </w:rPr>
              <w:t xml:space="preserve">Delivered — /compare, parametric filters</w:t>
            </w:r>
          </w:p>
        </w:tc>
      </w:tr>
      <w:tr>
        <w:tc>
          <w:tcPr>
            <w:tcW w:type="dxa" w:w="4600"/>
            <w:tcMar>
              <w:top w:type="dxa" w:w="70"/>
              <w:left w:type="dxa" w:w="100"/>
              <w:bottom w:type="dxa" w:w="70"/>
              <w:right w:type="dxa" w:w="100"/>
            </w:tcMar>
          </w:tcPr>
          <w:p>
            <w:r>
              <w:rPr>
                <w:color w:val="38373A"/>
                <w:sz w:val="19"/>
                <w:szCs w:val="19"/>
              </w:rPr>
              <w:t xml:space="preserve">Inventory management / supplier product mgmt</w:t>
            </w:r>
          </w:p>
        </w:tc>
        <w:tc>
          <w:tcPr>
            <w:tcW w:type="dxa" w:w="4800"/>
            <w:tcMar>
              <w:top w:type="dxa" w:w="70"/>
              <w:left w:type="dxa" w:w="100"/>
              <w:bottom w:type="dxa" w:w="70"/>
              <w:right w:type="dxa" w:w="100"/>
            </w:tcMar>
          </w:tcPr>
          <w:p>
            <w:r>
              <w:rPr>
                <w:color w:val="38373A"/>
                <w:sz w:val="19"/>
                <w:szCs w:val="19"/>
              </w:rPr>
              <w:t xml:space="preserve">Delivered at admin-console level (Section 6); ERP-sync is a documented target, not live</w:t>
            </w:r>
          </w:p>
        </w:tc>
      </w:tr>
      <w:tr>
        <w:tc>
          <w:tcPr>
            <w:tcW w:type="dxa" w:w="4600"/>
            <w:tcMar>
              <w:top w:type="dxa" w:w="70"/>
              <w:left w:type="dxa" w:w="100"/>
              <w:bottom w:type="dxa" w:w="70"/>
              <w:right w:type="dxa" w:w="100"/>
            </w:tcMar>
          </w:tcPr>
          <w:p>
            <w:r>
              <w:rPr>
                <w:color w:val="38373A"/>
                <w:sz w:val="19"/>
                <w:szCs w:val="19"/>
              </w:rPr>
              <w:t xml:space="preserve">Logistics, customer mgmt, analytics, notifications</w:t>
            </w:r>
          </w:p>
        </w:tc>
        <w:tc>
          <w:tcPr>
            <w:tcW w:type="dxa" w:w="4800"/>
            <w:tcMar>
              <w:top w:type="dxa" w:w="70"/>
              <w:left w:type="dxa" w:w="100"/>
              <w:bottom w:type="dxa" w:w="70"/>
              <w:right w:type="dxa" w:w="100"/>
            </w:tcMar>
          </w:tcPr>
          <w:p>
            <w:r>
              <w:rPr>
                <w:color w:val="38373A"/>
                <w:sz w:val="19"/>
                <w:szCs w:val="19"/>
              </w:rPr>
              <w:t xml:space="preserve">Delivered as admin console pages + buyer-side prototype tracker</w:t>
            </w:r>
          </w:p>
        </w:tc>
      </w:tr>
      <w:tr>
        <w:tc>
          <w:tcPr>
            <w:tcW w:type="dxa" w:w="4600"/>
            <w:tcMar>
              <w:top w:type="dxa" w:w="70"/>
              <w:left w:type="dxa" w:w="100"/>
              <w:bottom w:type="dxa" w:w="70"/>
              <w:right w:type="dxa" w:w="100"/>
            </w:tcMar>
          </w:tcPr>
          <w:p>
            <w:r>
              <w:rPr>
                <w:color w:val="38373A"/>
                <w:sz w:val="19"/>
                <w:szCs w:val="19"/>
              </w:rPr>
              <w:t xml:space="preserve">AR / VR / advanced AI / enterprise procurement</w:t>
            </w:r>
          </w:p>
        </w:tc>
        <w:tc>
          <w:tcPr>
            <w:tcW w:type="dxa" w:w="4800"/>
            <w:tcMar>
              <w:top w:type="dxa" w:w="70"/>
              <w:left w:type="dxa" w:w="100"/>
              <w:bottom w:type="dxa" w:w="70"/>
              <w:right w:type="dxa" w:w="100"/>
            </w:tcMar>
          </w:tcPr>
          <w:p>
            <w:r>
              <w:rPr>
                <w:color w:val="38373A"/>
                <w:sz w:val="19"/>
                <w:szCs w:val="19"/>
              </w:rPr>
              <w:t xml:space="preserve">Roadmap concepts only (Section 9) — intentionally not over-invested per P2 guidance</w:t>
            </w:r>
          </w:p>
        </w:tc>
      </w:tr>
    </w:tbl>
    <w:p>
      <w:pPr>
        <w:pStyle w:val="Heading1"/>
        <w:spacing w:after="200" w:before="400"/>
      </w:pPr>
      <w:r>
        <w:t xml:space="preserve">12. Prototype vs. Production — Honesty Ledger</w:t>
      </w:r>
    </w:p>
    <w:p>
      <w:pPr>
        <w:spacing w:after="160" w:line="300"/>
      </w:pPr>
      <w:r>
        <w:rPr>
          <w:color w:val="38373A"/>
          <w:sz w:val="21"/>
          <w:szCs w:val="21"/>
        </w:rPr>
        <w:t xml:space="preserve">Consolidated from the PROTOTYPE/DEMO comments already present throughout the codebase, so nothing below is a new claim — it restates what each service file already documents about itself.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93386C" w:color="auto" w:val="clear"/>
            <w:tcMar>
              <w:top w:type="dxa" w:w="80"/>
              <w:left w:type="dxa" w:w="100"/>
              <w:bottom w:type="dxa" w:w="80"/>
              <w:right w:type="dxa" w:w="100"/>
            </w:tcMar>
          </w:tcPr>
          <w:p>
            <w:r>
              <w:rPr>
                <w:b/>
                <w:bCs/>
                <w:color w:val="FFFFFF"/>
                <w:sz w:val="19"/>
                <w:szCs w:val="19"/>
              </w:rPr>
              <w:t xml:space="preserve">Capability</w:t>
            </w:r>
          </w:p>
        </w:tc>
        <w:tc>
          <w:tcPr>
            <w:tcW w:type="dxa" w:w="3200"/>
            <w:shd w:fill="93386C" w:color="auto" w:val="clear"/>
            <w:tcMar>
              <w:top w:type="dxa" w:w="80"/>
              <w:left w:type="dxa" w:w="100"/>
              <w:bottom w:type="dxa" w:w="80"/>
              <w:right w:type="dxa" w:w="100"/>
            </w:tcMar>
          </w:tcPr>
          <w:p>
            <w:r>
              <w:rPr>
                <w:b/>
                <w:bCs/>
                <w:color w:val="FFFFFF"/>
                <w:sz w:val="19"/>
                <w:szCs w:val="19"/>
              </w:rPr>
              <w:t xml:space="preserve">Status today</w:t>
            </w:r>
          </w:p>
        </w:tc>
        <w:tc>
          <w:tcPr>
            <w:tcW w:type="dxa" w:w="3600"/>
            <w:shd w:fill="93386C" w:color="auto" w:val="clear"/>
            <w:tcMar>
              <w:top w:type="dxa" w:w="80"/>
              <w:left w:type="dxa" w:w="100"/>
              <w:bottom w:type="dxa" w:w="80"/>
              <w:right w:type="dxa" w:w="100"/>
            </w:tcMar>
          </w:tcPr>
          <w:p>
            <w:r>
              <w:rPr>
                <w:b/>
                <w:bCs/>
                <w:color w:val="FFFFFF"/>
                <w:sz w:val="19"/>
                <w:szCs w:val="19"/>
              </w:rPr>
              <w:t xml:space="preserve">What production would add</w:t>
            </w:r>
          </w:p>
        </w:tc>
      </w:tr>
      <w:tr>
        <w:tc>
          <w:tcPr>
            <w:tcW w:type="dxa" w:w="2600"/>
            <w:tcMar>
              <w:top w:type="dxa" w:w="70"/>
              <w:left w:type="dxa" w:w="100"/>
              <w:bottom w:type="dxa" w:w="70"/>
              <w:right w:type="dxa" w:w="100"/>
            </w:tcMar>
          </w:tcPr>
          <w:p>
            <w:r>
              <w:rPr>
                <w:color w:val="38373A"/>
                <w:sz w:val="19"/>
                <w:szCs w:val="19"/>
              </w:rPr>
              <w:t xml:space="preserve">Product catalog, filtering, search</w:t>
            </w:r>
          </w:p>
        </w:tc>
        <w:tc>
          <w:tcPr>
            <w:tcW w:type="dxa" w:w="3200"/>
            <w:tcMar>
              <w:top w:type="dxa" w:w="70"/>
              <w:left w:type="dxa" w:w="100"/>
              <w:bottom w:type="dxa" w:w="70"/>
              <w:right w:type="dxa" w:w="100"/>
            </w:tcMar>
          </w:tcPr>
          <w:p>
            <w:r>
              <w:rPr>
                <w:color w:val="38373A"/>
                <w:sz w:val="19"/>
                <w:szCs w:val="19"/>
              </w:rPr>
              <w:t xml:space="preserve">Live — real 138-part dataset, client-side filtering</w:t>
            </w:r>
          </w:p>
        </w:tc>
        <w:tc>
          <w:tcPr>
            <w:tcW w:type="dxa" w:w="3600"/>
            <w:tcMar>
              <w:top w:type="dxa" w:w="70"/>
              <w:left w:type="dxa" w:w="100"/>
              <w:bottom w:type="dxa" w:w="70"/>
              <w:right w:type="dxa" w:w="100"/>
            </w:tcMar>
          </w:tcPr>
          <w:p>
            <w:r>
              <w:rPr>
                <w:color w:val="38373A"/>
                <w:sz w:val="19"/>
                <w:szCs w:val="19"/>
              </w:rPr>
              <w:t xml:space="preserve">Same data model, backed by a real product/search service</w:t>
            </w:r>
          </w:p>
        </w:tc>
      </w:tr>
      <w:tr>
        <w:tc>
          <w:tcPr>
            <w:tcW w:type="dxa" w:w="2600"/>
            <w:tcMar>
              <w:top w:type="dxa" w:w="70"/>
              <w:left w:type="dxa" w:w="100"/>
              <w:bottom w:type="dxa" w:w="70"/>
              <w:right w:type="dxa" w:w="100"/>
            </w:tcMar>
          </w:tcPr>
          <w:p>
            <w:r>
              <w:rPr>
                <w:color w:val="38373A"/>
                <w:sz w:val="19"/>
                <w:szCs w:val="19"/>
              </w:rPr>
              <w:t xml:space="preserve">AI Engineering Search</w:t>
            </w:r>
          </w:p>
        </w:tc>
        <w:tc>
          <w:tcPr>
            <w:tcW w:type="dxa" w:w="3200"/>
            <w:tcMar>
              <w:top w:type="dxa" w:w="70"/>
              <w:left w:type="dxa" w:w="100"/>
              <w:bottom w:type="dxa" w:w="70"/>
              <w:right w:type="dxa" w:w="100"/>
            </w:tcMar>
          </w:tcPr>
          <w:p>
            <w:r>
              <w:rPr>
                <w:color w:val="38373A"/>
                <w:sz w:val="19"/>
                <w:szCs w:val="19"/>
              </w:rPr>
              <w:t xml:space="preserve">Mocked — rule-based pattern matcher</w:t>
            </w:r>
          </w:p>
        </w:tc>
        <w:tc>
          <w:tcPr>
            <w:tcW w:type="dxa" w:w="3600"/>
            <w:tcMar>
              <w:top w:type="dxa" w:w="70"/>
              <w:left w:type="dxa" w:w="100"/>
              <w:bottom w:type="dxa" w:w="70"/>
              <w:right w:type="dxa" w:w="100"/>
            </w:tcMar>
          </w:tcPr>
          <w:p>
            <w:r>
              <w:rPr>
                <w:color w:val="38373A"/>
                <w:sz w:val="19"/>
                <w:szCs w:val="19"/>
              </w:rPr>
              <w:t xml:space="preserve">Real LLM/NLU function-calling endpoint behind the same interface</w:t>
            </w:r>
          </w:p>
        </w:tc>
      </w:tr>
      <w:tr>
        <w:tc>
          <w:tcPr>
            <w:tcW w:type="dxa" w:w="2600"/>
            <w:tcMar>
              <w:top w:type="dxa" w:w="70"/>
              <w:left w:type="dxa" w:w="100"/>
              <w:bottom w:type="dxa" w:w="70"/>
              <w:right w:type="dxa" w:w="100"/>
            </w:tcMar>
          </w:tcPr>
          <w:p>
            <w:r>
              <w:rPr>
                <w:color w:val="38373A"/>
                <w:sz w:val="19"/>
                <w:szCs w:val="19"/>
              </w:rPr>
              <w:t xml:space="preserve">BOM parsing &amp; matching</w:t>
            </w:r>
          </w:p>
        </w:tc>
        <w:tc>
          <w:tcPr>
            <w:tcW w:type="dxa" w:w="3200"/>
            <w:tcMar>
              <w:top w:type="dxa" w:w="70"/>
              <w:left w:type="dxa" w:w="100"/>
              <w:bottom w:type="dxa" w:w="70"/>
              <w:right w:type="dxa" w:w="100"/>
            </w:tcMar>
          </w:tcPr>
          <w:p>
            <w:r>
              <w:rPr>
                <w:color w:val="38373A"/>
                <w:sz w:val="19"/>
                <w:szCs w:val="19"/>
              </w:rPr>
              <w:t xml:space="preserve">Mocked — line parser + prefix-fuzzy match</w:t>
            </w:r>
          </w:p>
        </w:tc>
        <w:tc>
          <w:tcPr>
            <w:tcW w:type="dxa" w:w="3600"/>
            <w:tcMar>
              <w:top w:type="dxa" w:w="70"/>
              <w:left w:type="dxa" w:w="100"/>
              <w:bottom w:type="dxa" w:w="70"/>
              <w:right w:type="dxa" w:w="100"/>
            </w:tcMar>
          </w:tcPr>
          <w:p>
            <w:r>
              <w:rPr>
                <w:color w:val="38373A"/>
                <w:sz w:val="19"/>
                <w:szCs w:val="19"/>
              </w:rPr>
              <w:t xml:space="preserve">Real CSV/XLSX/ODB++ ingestion + component-matching/alt-parts API</w:t>
            </w:r>
          </w:p>
        </w:tc>
      </w:tr>
      <w:tr>
        <w:tc>
          <w:tcPr>
            <w:tcW w:type="dxa" w:w="2600"/>
            <w:tcMar>
              <w:top w:type="dxa" w:w="70"/>
              <w:left w:type="dxa" w:w="100"/>
              <w:bottom w:type="dxa" w:w="70"/>
              <w:right w:type="dxa" w:w="100"/>
            </w:tcMar>
          </w:tcPr>
          <w:p>
            <w:r>
              <w:rPr>
                <w:color w:val="38373A"/>
                <w:sz w:val="19"/>
                <w:szCs w:val="19"/>
              </w:rPr>
              <w:t xml:space="preserve">Pricing governance</w:t>
            </w:r>
          </w:p>
        </w:tc>
        <w:tc>
          <w:tcPr>
            <w:tcW w:type="dxa" w:w="3200"/>
            <w:tcMar>
              <w:top w:type="dxa" w:w="70"/>
              <w:left w:type="dxa" w:w="100"/>
              <w:bottom w:type="dxa" w:w="70"/>
              <w:right w:type="dxa" w:w="100"/>
            </w:tcMar>
          </w:tcPr>
          <w:p>
            <w:r>
              <w:rPr>
                <w:color w:val="38373A"/>
                <w:sz w:val="19"/>
                <w:szCs w:val="19"/>
              </w:rPr>
              <w:t xml:space="preserve">Mocked — illustrative demo rate rules</w:t>
            </w:r>
          </w:p>
        </w:tc>
        <w:tc>
          <w:tcPr>
            <w:tcW w:type="dxa" w:w="3600"/>
            <w:tcMar>
              <w:top w:type="dxa" w:w="70"/>
              <w:left w:type="dxa" w:w="100"/>
              <w:bottom w:type="dxa" w:w="70"/>
              <w:right w:type="dxa" w:w="100"/>
            </w:tcMar>
          </w:tcPr>
          <w:p>
            <w:r>
              <w:rPr>
                <w:color w:val="38373A"/>
                <w:sz w:val="19"/>
                <w:szCs w:val="19"/>
              </w:rPr>
              <w:t xml:space="preserve">Real pricing rules engine / ERP contract tables</w:t>
            </w:r>
          </w:p>
        </w:tc>
      </w:tr>
      <w:tr>
        <w:tc>
          <w:tcPr>
            <w:tcW w:type="dxa" w:w="2600"/>
            <w:tcMar>
              <w:top w:type="dxa" w:w="70"/>
              <w:left w:type="dxa" w:w="100"/>
              <w:bottom w:type="dxa" w:w="70"/>
              <w:right w:type="dxa" w:w="100"/>
            </w:tcMar>
          </w:tcPr>
          <w:p>
            <w:r>
              <w:rPr>
                <w:color w:val="38373A"/>
                <w:sz w:val="19"/>
                <w:szCs w:val="19"/>
              </w:rPr>
              <w:t xml:space="preserve">Inventory / stock sync</w:t>
            </w:r>
          </w:p>
        </w:tc>
        <w:tc>
          <w:tcPr>
            <w:tcW w:type="dxa" w:w="3200"/>
            <w:tcMar>
              <w:top w:type="dxa" w:w="70"/>
              <w:left w:type="dxa" w:w="100"/>
              <w:bottom w:type="dxa" w:w="70"/>
              <w:right w:type="dxa" w:w="100"/>
            </w:tcMar>
          </w:tcPr>
          <w:p>
            <w:r>
              <w:rPr>
                <w:color w:val="38373A"/>
                <w:sz w:val="19"/>
                <w:szCs w:val="19"/>
              </w:rPr>
              <w:t xml:space="preserve">Static per product record</w:t>
            </w:r>
          </w:p>
        </w:tc>
        <w:tc>
          <w:tcPr>
            <w:tcW w:type="dxa" w:w="3600"/>
            <w:tcMar>
              <w:top w:type="dxa" w:w="70"/>
              <w:left w:type="dxa" w:w="100"/>
              <w:bottom w:type="dxa" w:w="70"/>
              <w:right w:type="dxa" w:w="100"/>
            </w:tcMar>
          </w:tcPr>
          <w:p>
            <w:r>
              <w:rPr>
                <w:color w:val="38373A"/>
                <w:sz w:val="19"/>
                <w:szCs w:val="19"/>
              </w:rPr>
              <w:t xml:space="preserve">Live ERP↔web sync (governance target: &lt;5 min)</w:t>
            </w:r>
          </w:p>
        </w:tc>
      </w:tr>
      <w:tr>
        <w:tc>
          <w:tcPr>
            <w:tcW w:type="dxa" w:w="2600"/>
            <w:tcMar>
              <w:top w:type="dxa" w:w="70"/>
              <w:left w:type="dxa" w:w="100"/>
              <w:bottom w:type="dxa" w:w="70"/>
              <w:right w:type="dxa" w:w="100"/>
            </w:tcMar>
          </w:tcPr>
          <w:p>
            <w:r>
              <w:rPr>
                <w:color w:val="38373A"/>
                <w:sz w:val="19"/>
                <w:szCs w:val="19"/>
              </w:rPr>
              <w:t xml:space="preserve">Order logistics tracking</w:t>
            </w:r>
          </w:p>
        </w:tc>
        <w:tc>
          <w:tcPr>
            <w:tcW w:type="dxa" w:w="3200"/>
            <w:tcMar>
              <w:top w:type="dxa" w:w="70"/>
              <w:left w:type="dxa" w:w="100"/>
              <w:bottom w:type="dxa" w:w="70"/>
              <w:right w:type="dxa" w:w="100"/>
            </w:tcMar>
          </w:tcPr>
          <w:p>
            <w:r>
              <w:rPr>
                <w:color w:val="38373A"/>
                <w:sz w:val="19"/>
                <w:szCs w:val="19"/>
              </w:rPr>
              <w:t xml:space="preserve">Mocked timeline, fixed stages</w:t>
            </w:r>
          </w:p>
        </w:tc>
        <w:tc>
          <w:tcPr>
            <w:tcW w:type="dxa" w:w="3600"/>
            <w:tcMar>
              <w:top w:type="dxa" w:w="70"/>
              <w:left w:type="dxa" w:w="100"/>
              <w:bottom w:type="dxa" w:w="70"/>
              <w:right w:type="dxa" w:w="100"/>
            </w:tcMar>
          </w:tcPr>
          <w:p>
            <w:r>
              <w:rPr>
                <w:color w:val="38373A"/>
                <w:sz w:val="19"/>
                <w:szCs w:val="19"/>
              </w:rPr>
              <w:t xml:space="preserve">Real carrier/logistics API integration</w:t>
            </w:r>
          </w:p>
        </w:tc>
      </w:tr>
      <w:tr>
        <w:tc>
          <w:tcPr>
            <w:tcW w:type="dxa" w:w="2600"/>
            <w:tcMar>
              <w:top w:type="dxa" w:w="70"/>
              <w:left w:type="dxa" w:w="100"/>
              <w:bottom w:type="dxa" w:w="70"/>
              <w:right w:type="dxa" w:w="100"/>
            </w:tcMar>
          </w:tcPr>
          <w:p>
            <w:r>
              <w:rPr>
                <w:color w:val="38373A"/>
                <w:sz w:val="19"/>
                <w:szCs w:val="19"/>
              </w:rPr>
              <w:t xml:space="preserve">Payments</w:t>
            </w:r>
          </w:p>
        </w:tc>
        <w:tc>
          <w:tcPr>
            <w:tcW w:type="dxa" w:w="3200"/>
            <w:tcMar>
              <w:top w:type="dxa" w:w="70"/>
              <w:left w:type="dxa" w:w="100"/>
              <w:bottom w:type="dxa" w:w="70"/>
              <w:right w:type="dxa" w:w="100"/>
            </w:tcMar>
          </w:tcPr>
          <w:p>
            <w:r>
              <w:rPr>
                <w:color w:val="38373A"/>
                <w:sz w:val="19"/>
                <w:szCs w:val="19"/>
              </w:rPr>
              <w:t xml:space="preserve">Form capture only, no processor call</w:t>
            </w:r>
          </w:p>
        </w:tc>
        <w:tc>
          <w:tcPr>
            <w:tcW w:type="dxa" w:w="3600"/>
            <w:tcMar>
              <w:top w:type="dxa" w:w="70"/>
              <w:left w:type="dxa" w:w="100"/>
              <w:bottom w:type="dxa" w:w="70"/>
              <w:right w:type="dxa" w:w="100"/>
            </w:tcMar>
          </w:tcPr>
          <w:p>
            <w:r>
              <w:rPr>
                <w:color w:val="38373A"/>
                <w:sz w:val="19"/>
                <w:szCs w:val="19"/>
              </w:rPr>
              <w:t xml:space="preserve">PCI-compliant payment gateway integration</w:t>
            </w:r>
          </w:p>
        </w:tc>
      </w:tr>
      <w:tr>
        <w:tc>
          <w:tcPr>
            <w:tcW w:type="dxa" w:w="2600"/>
            <w:tcMar>
              <w:top w:type="dxa" w:w="70"/>
              <w:left w:type="dxa" w:w="100"/>
              <w:bottom w:type="dxa" w:w="70"/>
              <w:right w:type="dxa" w:w="100"/>
            </w:tcMar>
          </w:tcPr>
          <w:p>
            <w:r>
              <w:rPr>
                <w:color w:val="38373A"/>
                <w:sz w:val="19"/>
                <w:szCs w:val="19"/>
              </w:rPr>
              <w:t xml:space="preserve">Maker-Checker governance</w:t>
            </w:r>
          </w:p>
        </w:tc>
        <w:tc>
          <w:tcPr>
            <w:tcW w:type="dxa" w:w="3200"/>
            <w:tcMar>
              <w:top w:type="dxa" w:w="70"/>
              <w:left w:type="dxa" w:w="100"/>
              <w:bottom w:type="dxa" w:w="70"/>
              <w:right w:type="dxa" w:w="100"/>
            </w:tcMar>
          </w:tcPr>
          <w:p>
            <w:r>
              <w:rPr>
                <w:color w:val="38373A"/>
                <w:sz w:val="19"/>
                <w:szCs w:val="19"/>
              </w:rPr>
              <w:t xml:space="preserve">Live UI/state machine, single-user simulated</w:t>
            </w:r>
          </w:p>
        </w:tc>
        <w:tc>
          <w:tcPr>
            <w:tcW w:type="dxa" w:w="3600"/>
            <w:tcMar>
              <w:top w:type="dxa" w:w="70"/>
              <w:left w:type="dxa" w:w="100"/>
              <w:bottom w:type="dxa" w:w="70"/>
              <w:right w:type="dxa" w:w="100"/>
            </w:tcMar>
          </w:tcPr>
          <w:p>
            <w:r>
              <w:rPr>
                <w:color w:val="38373A"/>
                <w:sz w:val="19"/>
                <w:szCs w:val="19"/>
              </w:rPr>
              <w:t xml:space="preserve">Multi-user roles/permissions, audit-logged, tied to real accounts</w:t>
            </w:r>
          </w:p>
        </w:tc>
      </w:tr>
      <w:tr>
        <w:tc>
          <w:tcPr>
            <w:tcW w:type="dxa" w:w="2600"/>
            <w:tcMar>
              <w:top w:type="dxa" w:w="70"/>
              <w:left w:type="dxa" w:w="100"/>
              <w:bottom w:type="dxa" w:w="70"/>
              <w:right w:type="dxa" w:w="100"/>
            </w:tcMar>
          </w:tcPr>
          <w:p>
            <w:r>
              <w:rPr>
                <w:color w:val="38373A"/>
                <w:sz w:val="19"/>
                <w:szCs w:val="19"/>
              </w:rPr>
              <w:t xml:space="preserve">Seller onboarding</w:t>
            </w:r>
          </w:p>
        </w:tc>
        <w:tc>
          <w:tcPr>
            <w:tcW w:type="dxa" w:w="3200"/>
            <w:tcMar>
              <w:top w:type="dxa" w:w="70"/>
              <w:left w:type="dxa" w:w="100"/>
              <w:bottom w:type="dxa" w:w="70"/>
              <w:right w:type="dxa" w:w="100"/>
            </w:tcMar>
          </w:tcPr>
          <w:p>
            <w:r>
              <w:rPr>
                <w:color w:val="38373A"/>
                <w:sz w:val="19"/>
                <w:szCs w:val="19"/>
              </w:rPr>
              <w:t xml:space="preserve">Form + status lifecycle, no verification backend</w:t>
            </w:r>
          </w:p>
        </w:tc>
        <w:tc>
          <w:tcPr>
            <w:tcW w:type="dxa" w:w="3600"/>
            <w:tcMar>
              <w:top w:type="dxa" w:w="70"/>
              <w:left w:type="dxa" w:w="100"/>
              <w:bottom w:type="dxa" w:w="70"/>
              <w:right w:type="dxa" w:w="100"/>
            </w:tcMar>
          </w:tcPr>
          <w:p>
            <w:r>
              <w:rPr>
                <w:color w:val="38373A"/>
                <w:sz w:val="19"/>
                <w:szCs w:val="19"/>
              </w:rPr>
              <w:t xml:space="preserve">KYB/verification pipeline, real console provisioning</w:t>
            </w:r>
          </w:p>
        </w:tc>
      </w:tr>
      <w:tr>
        <w:tc>
          <w:tcPr>
            <w:tcW w:type="dxa" w:w="2600"/>
            <w:tcMar>
              <w:top w:type="dxa" w:w="70"/>
              <w:left w:type="dxa" w:w="100"/>
              <w:bottom w:type="dxa" w:w="70"/>
              <w:right w:type="dxa" w:w="100"/>
            </w:tcMar>
          </w:tcPr>
          <w:p>
            <w:r>
              <w:rPr>
                <w:color w:val="38373A"/>
                <w:sz w:val="19"/>
                <w:szCs w:val="19"/>
              </w:rPr>
              <w:t xml:space="preserve">AR/VR</w:t>
            </w:r>
          </w:p>
        </w:tc>
        <w:tc>
          <w:tcPr>
            <w:tcW w:type="dxa" w:w="3200"/>
            <w:tcMar>
              <w:top w:type="dxa" w:w="70"/>
              <w:left w:type="dxa" w:w="100"/>
              <w:bottom w:type="dxa" w:w="70"/>
              <w:right w:type="dxa" w:w="100"/>
            </w:tcMar>
          </w:tcPr>
          <w:p>
            <w:r>
              <w:rPr>
                <w:color w:val="38373A"/>
                <w:sz w:val="19"/>
                <w:szCs w:val="19"/>
              </w:rPr>
              <w:t xml:space="preserve">Concept page only</w:t>
            </w:r>
          </w:p>
        </w:tc>
        <w:tc>
          <w:tcPr>
            <w:tcW w:type="dxa" w:w="3600"/>
            <w:tcMar>
              <w:top w:type="dxa" w:w="70"/>
              <w:left w:type="dxa" w:w="100"/>
              <w:bottom w:type="dxa" w:w="70"/>
              <w:right w:type="dxa" w:w="100"/>
            </w:tcMar>
          </w:tcPr>
          <w:p>
            <w:r>
              <w:rPr>
                <w:color w:val="38373A"/>
                <w:sz w:val="19"/>
                <w:szCs w:val="19"/>
              </w:rPr>
              <w:t xml:space="preserve">Not built — explicitly roadmap (Section 9)</w:t>
            </w:r>
          </w:p>
        </w:tc>
      </w:tr>
    </w:tbl>
    <w:p>
      <w:pPr>
        <w:pStyle w:val="Heading1"/>
        <w:spacing w:after="200" w:before="400"/>
      </w:pPr>
      <w:r>
        <w:t xml:space="preserve">13. Summary</w:t>
      </w:r>
    </w:p>
    <w:p>
      <w:pPr>
        <w:spacing w:after="160" w:line="300"/>
      </w:pPr>
      <w:r>
        <w:rPr>
          <w:color w:val="38373A"/>
          <w:sz w:val="21"/>
          <w:szCs w:val="21"/>
        </w:rPr>
        <w:t xml:space="preserve">The application today covers the full P0 priority list from the governance framework: a premium, technically credible buyer experience; parametric and multi-view product discovery; a real manufacturer/supplier ecosystem built from actual data; four distinct engineering workflows (AI search, BOM/RFQ, design request, governed pricing) that demonstrate genuine B2B depth beyond browse-and-buy; a supplier/admin console with Maker-Checker governance wired into product publishing; and order tracking. Every simulated capability is labeled as such in-code and, where user-facing, via visible badges, so the prototype can be evaluated honestly against what still needs a real backend.</w:t>
      </w:r>
    </w:p>
    <w:p>
      <w:pPr>
        <w:spacing w:after="160" w:line="300"/>
      </w:pPr>
      <w:r>
        <w:rPr>
          <w:color w:val="38373A"/>
          <w:sz w:val="21"/>
          <w:szCs w:val="21"/>
        </w:rPr>
        <w:t xml:space="preserve">The architecture — service/repository separation, React Query for all server-state, a documented mock-to-production seam on every AI/pricing/governance function — is built so each of those integrations (real AI platform, ERP, payment gateway, logistics API) can replace its mock counterpart without a UI rewrite, which is the standard this build has been held to throughout.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837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93386C"/>
      <w:sz w:val="30"/>
      <w:szCs w:val="30"/>
    </w:rPr>
  </w:style>
  <w:style w:type="paragraph" w:styleId="Heading2">
    <w:name w:val="Heading 2"/>
    <w:basedOn w:val="Normal"/>
    <w:next w:val="Normal"/>
    <w:pPr>
      <w:spacing w:after="150" w:before="300"/>
    </w:pPr>
    <w:rPr>
      <w:rFonts w:ascii="Calibri" w:cs="Calibri" w:eastAsia="Calibri" w:hAnsi="Calibri"/>
      <w:b/>
      <w:bCs/>
      <w:color w:val="38373A"/>
      <w:sz w:val="25"/>
      <w:szCs w:val="25"/>
    </w:rPr>
  </w:style>
  <w:style w:type="paragraph" w:styleId="Heading3">
    <w:name w:val="Heading 3"/>
    <w:basedOn w:val="Normal"/>
    <w:next w:val="Normal"/>
    <w:pPr>
      <w:spacing w:after="100" w:before="200"/>
    </w:pPr>
    <w:rPr>
      <w:rFonts w:ascii="Calibri" w:cs="Calibri" w:eastAsia="Calibri" w:hAnsi="Calibri"/>
      <w:b/>
      <w:bCs/>
      <w:color w:val="666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2026-08-09T13:11:54.475Z</dcterms:created>
  <dcterms:modified xsi:type="dcterms:W3CDTF">2026-08-09T13:11:54.476Z</dcterms:modified>
</cp:coreProperties>
</file>

<file path=docProps/custom.xml><?xml version="1.0" encoding="utf-8"?>
<Properties xmlns="http://schemas.openxmlformats.org/officeDocument/2006/custom-properties" xmlns:vt="http://schemas.openxmlformats.org/officeDocument/2006/docPropsVTypes"/>
</file>