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اندرز — معرفی‌نامه و پرامپت ساخت اپلیکیشن</w:t>
      </w:r>
    </w:p>
    <w:p>
      <w:pPr/>
      <w:r>
        <w:t xml:space="preserve">Oct 9, 2026</w:t>
      </w:r>
      <w:r>
        <w:t xml:space="preserve"> · </w:t>
      </w:r>
      <w:r>
        <w:t xml:space="preserve">@mobit</w:t>
      </w:r>
    </w:p>
    <w:p>
      <w:pPr>
        <w:bidi/>
      </w:pPr>
      <w:r>
        <w:rPr>
          <w:rtl/>
        </w:rPr>
        <w:t xml:space="preserve">اندرز اپلیکیشن اندرویدیِ آفلاین برای معامله‌گر منضبط است که اساس‌نامه و ژورنال معاملاتی تو را اجرا می‌کند؛ این سند معرفی‌نامهٔ نام آن و راهنمای بستهٔ ساخت را دارد؛ خودِ پرامپت کامل (انگلیسی) و فایل‌های همراهش در یک بستهٔ زیپ جدا فرستاده شده‌اند.</w:t>
      </w:r>
    </w:p>
    <w:p>
      <w:pPr>
        <w:pStyle w:val="Heading2"/>
        <w:bidi/>
      </w:pPr>
      <w:r>
        <w:rPr>
          <w:rtl/>
        </w:rPr>
        <w:t xml:space="preserve">معنی و ریشهٔ نام «اندرز»</w:t>
      </w:r>
    </w:p>
    <w:p>
      <w:pPr>
        <w:bidi/>
      </w:pPr>
      <w:r>
        <w:rPr>
          <w:rtl/>
        </w:rPr>
        <w:t xml:space="preserve">«اندرز» در فارسی میانه و فارسی نو یعنی پند و سفارشِ خردمندانه؛ «اندرزبد» نام یک مقام ساسانی بود که از همین واژه ساخته شد، پس اندرز ریشه است و مخفف نیست.</w:t>
      </w:r>
    </w:p>
    <w:p>
      <w:pPr>
        <w:bidi/>
      </w:pPr>
      <w:r>
        <w:rPr>
          <w:rtl/>
        </w:rPr>
        <w:t xml:space="preserve">فرهنگ دهخدا اندرز را «پند، نصیحت و موعظت» معنا می‌کند و معنای دومش را «وصیت» می‌آورد؛ فرهنگ معین آن را واژه‌ای پهلوی نشان می‌دهد. به نوشتهٔ </w:t>
      </w:r>
      <w:hyperlink r:id="rId3" w:history="1">
        <w:r>
          <w:rPr>
            <w:rStyle w:val="Hyperlink"/>
            <w:rtl/>
          </w:rPr>
          <w:t xml:space="preserve">شائول شاکد در دانشنامهٔ ایرانیکا</w:t>
        </w:r>
      </w:hyperlink>
      <w:r>
        <w:rPr>
          <w:rtl/>
        </w:rPr>
        <w:t xml:space="preserve">، اندرز معمولاً سخن بزرگی است خطاب به پسر، درباریان یا «مردم جهان» و اغلب جنبهٔ وصیتِ معنوی دارد.</w:t>
      </w:r>
    </w:p>
    <w:p>
      <w:pPr>
        <w:bidi/>
      </w:pPr>
      <w:r>
        <w:rPr>
          <w:rtl/>
        </w:rPr>
        <w:t xml:space="preserve">ادبیات اندرزی ایران ساسانی از جمله‌های کوتاه و حکیمانه ساخته شده و کمتر روایت دارد. نمونه‌هایش اندرز آذرباد مهراسپندان در روزگار شاپور دوم، اندرز خسرو قبادان و کتاب ششم دینکرد است. </w:t>
      </w:r>
      <w:hyperlink r:id="rId4" w:history="1">
        <w:r>
          <w:rPr>
            <w:rStyle w:val="Hyperlink"/>
            <w:rtl/>
          </w:rPr>
          <w:t xml:space="preserve">بزرگمهر بختگان</w:t>
        </w:r>
      </w:hyperlink>
      <w:r>
        <w:rPr>
          <w:rtl/>
        </w:rPr>
        <w:t xml:space="preserve">، وزیر و حکیم دربار ساسانی، در ادب فارسی نمادِ خردمندی شد، هرچند بخشی از داستان‌هایش افسانه است. سه مضمونِ تکراریِ این متن‌ها خودشناسی و خردورزی، مشورت با دانایان و «پیمان» است، یعنی اندازهٔ درست یا «راه میانه».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واژه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صورت کهن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معنی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اندرز</w:t>
            </w:r>
          </w:p>
        </w:tc>
        <w:tc>
          <w:tcPr>
            <w:tcW w:w="3120" w:type="dxa"/>
          </w:tcPr>
          <w:p>
            <w:pPr/>
            <w:r>
              <w:t xml:space="preserve">andarz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پند و سفارش و وصیت؛ واژهٔ فارسی میانه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اندرزبد</w:t>
            </w:r>
          </w:p>
        </w:tc>
        <w:tc>
          <w:tcPr>
            <w:tcW w:w="3120" w:type="dxa"/>
          </w:tcPr>
          <w:p>
            <w:pPr/>
            <w:r>
              <w:t xml:space="preserve">andarzbad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سرمشاور؛ «سالار اندرز»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موبد</w:t>
            </w:r>
          </w:p>
        </w:tc>
        <w:tc>
          <w:tcPr>
            <w:tcW w:w="3120" w:type="dxa"/>
          </w:tcPr>
          <w:p>
            <w:pPr/>
            <w:r>
              <w:t xml:space="preserve">magu-pati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سالار مغان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سپهبد</w:t>
            </w:r>
          </w:p>
        </w:tc>
        <w:tc>
          <w:tcPr>
            <w:tcW w:w="3120" w:type="dxa"/>
          </w:tcPr>
          <w:p>
            <w:pPr/>
            <w:r>
              <w:t xml:space="preserve">spāda-pati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سالار سپاه</w:t>
            </w:r>
          </w:p>
        </w:tc>
      </w:tr>
    </w:tbl>
    <w:p>
      <w:pPr>
        <w:bidi/>
      </w:pPr>
      <w:r>
        <w:rPr>
          <w:rtl/>
        </w:rPr>
        <w:t xml:space="preserve">«اندرزبد» به گفتهٔ </w:t>
      </w:r>
      <w:hyperlink r:id="rId5" w:history="1">
        <w:r>
          <w:rPr>
            <w:rStyle w:val="Hyperlink"/>
            <w:rtl/>
          </w:rPr>
          <w:t xml:space="preserve">ماری‌لویز شومون در ایرانیکا</w:t>
        </w:r>
      </w:hyperlink>
      <w:r>
        <w:rPr>
          <w:rtl/>
        </w:rPr>
        <w:t xml:space="preserve"> یعنی «سرمشاور» و از اندرز به معنی «پند و رایزنی» ساخته شده است. شهرها و استان‌ها اندرزبد داشتند؛ اندرزبدِ سواران به سواران آموزش می‌داد؛ «دراندرزبد» از بلندپایه‌ترین مقام‌های دربار بود و «مُغان‌اندرزبد» مشاور حقوقی روحانیان به شمار می‌رفت. پسوند «بد» همان است که در </w:t>
      </w:r>
      <w:hyperlink r:id="rId6" w:history="1">
        <w:r>
          <w:rPr>
            <w:rStyle w:val="Hyperlink"/>
            <w:rtl/>
          </w:rPr>
          <w:t xml:space="preserve">موبد</w:t>
        </w:r>
      </w:hyperlink>
      <w:r>
        <w:rPr>
          <w:rtl/>
        </w:rPr>
        <w:t xml:space="preserve"> و </w:t>
      </w:r>
      <w:hyperlink r:id="rId7" w:history="1">
        <w:r>
          <w:rPr>
            <w:rStyle w:val="Hyperlink"/>
            <w:rtl/>
          </w:rPr>
          <w:t xml:space="preserve">سپهبد</w:t>
        </w:r>
      </w:hyperlink>
      <w:r>
        <w:rPr>
          <w:rtl/>
        </w:rPr>
        <w:t xml:space="preserve"> می‌بینیم، پس اندرزبد یعنی «سالار اندرز».</w:t>
      </w:r>
    </w:p>
    <w:p>
      <w:pPr>
        <w:bidi/>
      </w:pPr>
      <w:r>
        <w:rPr>
          <w:rtl/>
        </w:rPr>
        <w:t xml:space="preserve">چرا این نام به برنامه می‌خورد: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اندرز همان وصیت است: اساس‌نامه نامه‌ای است که با خونسردی به خودِ آیندهات می‌نویسی تا در هیجان بازار اجرایش کنی.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پیمان همان اندازهٔ درست است: محاسبهٔ سایز پوزیشن و سقف ریسک یعنی راه میانه میان ترس و طمع.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اندرزبد مشاوری است که پیش از تصمیم حرف می‌زند: برنامه پیش از دکمهٔ ورود، با دلیل، «بله» یا «نه» می‌گوید.</w:t>
      </w:r>
    </w:p>
    <w:p>
      <w:pPr>
        <w:pStyle w:val="Heading2"/>
        <w:bidi/>
      </w:pPr>
      <w:r>
        <w:rPr>
          <w:rtl/>
        </w:rPr>
        <w:t xml:space="preserve">هویت و ظاهر برنامه</w:t>
      </w:r>
    </w:p>
    <w:p>
      <w:pPr>
        <w:bidi/>
      </w:pPr>
      <w:r>
        <w:rPr>
          <w:rtl/>
        </w:rPr>
        <w:t xml:space="preserve">اندرز آرام و جدی است: مشاوری که صدایش را بلند نمی‌کند، اما هیچ‌وقت کوتاه نمی‌آید. شعارش خلاصهٔ اساس‌نامه است: «اول بقا، بعد سود».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لحن:</w:t>
      </w:r>
      <w:r>
        <w:rPr>
          <w:rtl/>
        </w:rPr>
        <w:t xml:space="preserve"> کوتاه، محترمانه و بی‌تعارف. برنامه هرگز به معامله تشویق نمی‌کند؛ وقتی «نه» می‌گوید، دلیلش را با عدد می‌نویسد.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آیکن:</w:t>
      </w:r>
      <w:r>
        <w:rPr>
          <w:rtl/>
        </w:rPr>
        <w:t xml:space="preserve"> یک «الف» راست و باریک، حرف اول نام و نشانهٔ ایستادگی، در مربعی لاجوردی. زیرش خطی کوتاه و زعفرانی است، همان خط قرمزی که ردش نمی‌کنی.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حالت‌ها:</w:t>
      </w:r>
      <w:r>
        <w:rPr>
          <w:rtl/>
        </w:rPr>
        <w:t xml:space="preserve"> پیش‌فرض تیره برای ساعت‌های شب؛ تم روشن «پوست کاغذی» به رنگ کاغذ کهنه.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رنگ یعنی معنا:</w:t>
      </w:r>
      <w:r>
        <w:rPr>
          <w:rtl/>
        </w:rPr>
        <w:t xml:space="preserve"> فیروزه‌ای یعنی مجاز یا سود، زعفرانی یعنی احتیاط یا «فقط ستاپ درجه‌یک»، انار یعنی خط قرمز یا زیان و لاجورد یعنی اطلاعات و نمودار. رنگ هرگز تنها نشانه نیست؛ علامت + و − یا آیکن هم کنارش می‌آید.</w:t>
      </w:r>
    </w:p>
    <w:p>
      <w:pPr>
        <w:pStyle w:val="ListParagraph"/>
        <w:numPr>
          <w:ilvl w:val="0"/>
          <w:numId w:val="3"/>
        </w:numPr>
        <w:bidi/>
      </w:pPr>
      <w:r>
        <w:rPr>
          <w:b/>
          <w:rtl/>
        </w:rPr>
        <w:t xml:space="preserve">قلم:</w:t>
      </w:r>
      <w:r>
        <w:rPr>
          <w:rtl/>
        </w:rPr>
        <w:t xml:space="preserve"> وزیرمتن با مجوز آزاد؛ ارقام فارسی یا لاتین به انتخاب کاربر.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نقش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تیره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روشن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کنتراست روی کارت (تیره / روشن)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پس‌زمینه</w:t>
            </w:r>
          </w:p>
        </w:tc>
        <w:tc>
          <w:tcPr>
            <w:tcW w:w="2340" w:type="dxa"/>
          </w:tcPr>
          <w:p>
            <w:pPr/>
            <w:r>
              <w:t xml:space="preserve">#0A1016</w:t>
            </w:r>
          </w:p>
        </w:tc>
        <w:tc>
          <w:tcPr>
            <w:tcW w:w="2340" w:type="dxa"/>
          </w:tcPr>
          <w:p>
            <w:pPr/>
            <w:r>
              <w:t xml:space="preserve">#F6F1E6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کارت</w:t>
            </w:r>
          </w:p>
        </w:tc>
        <w:tc>
          <w:tcPr>
            <w:tcW w:w="2340" w:type="dxa"/>
          </w:tcPr>
          <w:p>
            <w:pPr/>
            <w:r>
              <w:t xml:space="preserve">#111922</w:t>
            </w:r>
          </w:p>
        </w:tc>
        <w:tc>
          <w:tcPr>
            <w:tcW w:w="2340" w:type="dxa"/>
          </w:tcPr>
          <w:p>
            <w:pPr/>
            <w:r>
              <w:t xml:space="preserve">#FFFDF8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متن اصلی</w:t>
            </w:r>
          </w:p>
        </w:tc>
        <w:tc>
          <w:tcPr>
            <w:tcW w:w="2340" w:type="dxa"/>
          </w:tcPr>
          <w:p>
            <w:pPr/>
            <w:r>
              <w:t xml:space="preserve">#E9EFF5</w:t>
            </w:r>
          </w:p>
        </w:tc>
        <w:tc>
          <w:tcPr>
            <w:tcW w:w="2340" w:type="dxa"/>
          </w:tcPr>
          <w:p>
            <w:pPr/>
            <w:r>
              <w:t xml:space="preserve">#14212C</w:t>
            </w:r>
          </w:p>
        </w:tc>
        <w:tc>
          <w:tcPr>
            <w:tcW w:w="2340" w:type="dxa"/>
          </w:tcPr>
          <w:p>
            <w:pPr/>
            <w:r>
              <w:t xml:space="preserve">۱۵٫۲۹ / ۱۶٫۰۹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متن کم‌رنگ</w:t>
            </w:r>
          </w:p>
        </w:tc>
        <w:tc>
          <w:tcPr>
            <w:tcW w:w="2340" w:type="dxa"/>
          </w:tcPr>
          <w:p>
            <w:pPr/>
            <w:r>
              <w:t xml:space="preserve">#9DB0C3</w:t>
            </w:r>
          </w:p>
        </w:tc>
        <w:tc>
          <w:tcPr>
            <w:tcW w:w="2340" w:type="dxa"/>
          </w:tcPr>
          <w:p>
            <w:pPr/>
            <w:r>
              <w:t xml:space="preserve">#4F6071</w:t>
            </w:r>
          </w:p>
        </w:tc>
        <w:tc>
          <w:tcPr>
            <w:tcW w:w="2340" w:type="dxa"/>
          </w:tcPr>
          <w:p>
            <w:pPr/>
            <w:r>
              <w:t xml:space="preserve">۷٫۹۵ / ۶٫۳۷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فیروزه‌ای</w:t>
            </w:r>
          </w:p>
        </w:tc>
        <w:tc>
          <w:tcPr>
            <w:tcW w:w="2340" w:type="dxa"/>
          </w:tcPr>
          <w:p>
            <w:pPr/>
            <w:r>
              <w:t xml:space="preserve">#2DD4C0</w:t>
            </w:r>
          </w:p>
        </w:tc>
        <w:tc>
          <w:tcPr>
            <w:tcW w:w="2340" w:type="dxa"/>
          </w:tcPr>
          <w:p>
            <w:pPr/>
            <w:r>
              <w:t xml:space="preserve">#087069</w:t>
            </w:r>
          </w:p>
        </w:tc>
        <w:tc>
          <w:tcPr>
            <w:tcW w:w="2340" w:type="dxa"/>
          </w:tcPr>
          <w:p>
            <w:pPr/>
            <w:r>
              <w:t xml:space="preserve">۹٫۵۲ / ۵٫۸۵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زعفرانی</w:t>
            </w:r>
          </w:p>
        </w:tc>
        <w:tc>
          <w:tcPr>
            <w:tcW w:w="2340" w:type="dxa"/>
          </w:tcPr>
          <w:p>
            <w:pPr/>
            <w:r>
              <w:t xml:space="preserve">#F5B942</w:t>
            </w:r>
          </w:p>
        </w:tc>
        <w:tc>
          <w:tcPr>
            <w:tcW w:w="2340" w:type="dxa"/>
          </w:tcPr>
          <w:p>
            <w:pPr/>
            <w:r>
              <w:t xml:space="preserve">#8A5600</w:t>
            </w:r>
          </w:p>
        </w:tc>
        <w:tc>
          <w:tcPr>
            <w:tcW w:w="2340" w:type="dxa"/>
          </w:tcPr>
          <w:p>
            <w:pPr/>
            <w:r>
              <w:t xml:space="preserve">۱۰٫۰۳ / ۶٫۰۵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انار</w:t>
            </w:r>
          </w:p>
        </w:tc>
        <w:tc>
          <w:tcPr>
            <w:tcW w:w="2340" w:type="dxa"/>
          </w:tcPr>
          <w:p>
            <w:pPr/>
            <w:r>
              <w:t xml:space="preserve">#FF7385</w:t>
            </w:r>
          </w:p>
        </w:tc>
        <w:tc>
          <w:tcPr>
            <w:tcW w:w="2340" w:type="dxa"/>
          </w:tcPr>
          <w:p>
            <w:pPr/>
            <w:r>
              <w:t xml:space="preserve">#B3203A</w:t>
            </w:r>
          </w:p>
        </w:tc>
        <w:tc>
          <w:tcPr>
            <w:tcW w:w="2340" w:type="dxa"/>
          </w:tcPr>
          <w:p>
            <w:pPr/>
            <w:r>
              <w:t xml:space="preserve">۶٫۷۸ / ۶٫۴۹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لاجورد</w:t>
            </w:r>
          </w:p>
        </w:tc>
        <w:tc>
          <w:tcPr>
            <w:tcW w:w="2340" w:type="dxa"/>
          </w:tcPr>
          <w:p>
            <w:pPr/>
            <w:r>
              <w:t xml:space="preserve">#8AA4FF</w:t>
            </w:r>
          </w:p>
        </w:tc>
        <w:tc>
          <w:tcPr>
            <w:tcW w:w="2340" w:type="dxa"/>
          </w:tcPr>
          <w:p>
            <w:pPr/>
            <w:r>
              <w:t xml:space="preserve">#2F4AC4</w:t>
            </w:r>
          </w:p>
        </w:tc>
        <w:tc>
          <w:tcPr>
            <w:tcW w:w="2340" w:type="dxa"/>
          </w:tcPr>
          <w:p>
            <w:pPr/>
            <w:r>
              <w:t xml:space="preserve">۷٫۴۵ / ۷٫۱۳</w:t>
            </w:r>
          </w:p>
        </w:tc>
      </w:tr>
    </w:tbl>
    <w:p>
      <w:pPr>
        <w:bidi/>
      </w:pPr>
      <w:r>
        <w:rPr>
          <w:rtl/>
        </w:rPr>
        <w:t xml:space="preserve">کنتراست همهٔ جفت‌رنگ‌ها با روش WCAG 2.1 محاسبه شده است: متن اصلی دست‌کم ۷ به ۱، متن‌های رنگی دست‌کم ۴٫۵ به ۱ و مرزها و خط‌های نمودار دست‌کم ۳ به ۱. همین مقدارها در فایل «andarz_design_tokens.json» کنار پرامپت آمده است.</w:t>
      </w:r>
    </w:p>
    <w:p>
      <w:pPr>
        <w:pStyle w:val="Heading2"/>
        <w:bidi/>
      </w:pPr>
      <w:r>
        <w:rPr>
          <w:rtl/>
        </w:rPr>
        <w:t xml:space="preserve">بستهٔ ساخت: پرامپت و فایل‌های همراه</w:t>
      </w:r>
    </w:p>
    <w:p>
      <w:pPr>
        <w:bidi/>
      </w:pPr>
      <w:r>
        <w:rPr>
          <w:rtl/>
        </w:rPr>
        <w:t xml:space="preserve">پرامپت اصلی یک فایل متنی بزرگ به انگلیسی است (بیش از ۱۳۰ کیلوبایت) و برای چسباندن در کادر چت ساخته نشده. قرار است آن را کنار فایل‌های همراهش در یک مخزن (repo) بگذاری و به یک عامل کدنویس مثل Claude Code بدهی تا اپ را مرحله‌به‌مرحله بسازد. دلیل انگلیسی بودن این است که عامل‌های کدنویس معمولاً دستور فنی را در انگلیسی دقیق‌تر اجرا می‌کنند و نام کتابخانه‌ها و کلاس‌ها هم انگلیسی است. هر متنی که کاربر در برنامه می‌بیند فارسی است و جدا در یک فایل JSON آمده؛ پس رابط برنامه کاملاً فارسی می‌شود و در کد کاتلین حتی یک جملهٔ فارسی نمی‌ماند.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فایل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کارش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ANDARZ_MASTER_PROMPT.md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پرامپت اصلی: محصول، معماری، فرمول‌ها و قواعد، مدل داده، صفحه‌ها، طراحی، امنیت، آزمون‌ها، مرحله‌های ساخت و ثبت تصمیم‌ها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andarz_content_fa.json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همهٔ متن‌های فارسی برنامه: ۸۳۹ متن رابط، ۴۵ پارامتر، اساس‌نامهٔ ۱۳ ماده‌ای، چک‌لیست‌ها و ۲۵ پند روزانه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andarz_golden_vectors.json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۲۴۸ آزمون عددی در ۱۶ دسته؛ موتور کاتلین باید دقیقاً همین خروجی‌ها را بدهد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andarz_ref.py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پیاده‌سازی مرجع فرمول‌ها و قواعد به پایتون، برای وقتی که متن پرامپت کافی نیست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jalali_ref.py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مرجع تبدیل تاریخ میلادی و شمسی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andarz_design_tokens.json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رنگ‌های تیره و روشن با کنتراست راستی‌آزمایی‌شده، اندازه‌ها، فاصله‌ها و حرکت</w:t>
            </w:r>
          </w:p>
        </w:tc>
      </w:tr>
    </w:tbl>
    <w:p>
      <w:pPr>
        <w:bidi/>
      </w:pPr>
      <w:r>
        <w:rPr>
          <w:rtl/>
        </w:rPr>
        <w:t xml:space="preserve">همهٔ این فایل‌ها در یک زیپ جمع شده‌اند: </w:t>
      </w:r>
      <w:r>
        <w:rPr>
          <w:rStyle w:val="CodeChar"/>
          <w:rtl/>
        </w:rPr>
        <w:t xml:space="preserve">andarz-build-kit.zip</w:t>
      </w:r>
      <w:r>
        <w:rPr>
          <w:rtl/>
        </w:rPr>
        <w:t xml:space="preserve">، همراه یک README فارسی و انگلیسی و فایل </w:t>
      </w:r>
      <w:r>
        <w:rPr>
          <w:rStyle w:val="CodeChar"/>
          <w:rtl/>
        </w:rPr>
        <w:t xml:space="preserve">KICKOFF_MESSAGE.txt</w:t>
      </w:r>
      <w:r>
        <w:rPr>
          <w:rtl/>
        </w:rPr>
        <w:t xml:space="preserve"> که متن پیام شروع را جدا دارد.</w:t>
      </w:r>
    </w:p>
    <w:p>
      <w:pPr>
        <w:pStyle w:val="Heading3"/>
        <w:bidi/>
      </w:pPr>
      <w:r>
        <w:rPr>
          <w:rtl/>
        </w:rPr>
        <w:t xml:space="preserve">روش استفاده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یک مخزن خالی بساز، پوشهٔ </w:t>
      </w:r>
      <w:r>
        <w:rPr>
          <w:rStyle w:val="CodeChar"/>
          <w:rtl/>
        </w:rPr>
        <w:t xml:space="preserve">spec/</w:t>
      </w:r>
      <w:r>
        <w:rPr>
          <w:rtl/>
        </w:rPr>
        <w:t xml:space="preserve"> را در آن باز کن و فایل‌های بالا را بریز.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عامل کدنویس را روی همین مخزن باز کن و «پیام شروع» (پیوست E در انتهای پرامپت) را اولین پیام بده.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عامل مرحله‌ها را به ترتیب می‌سازد: M0 اسکلت، M1 و M2 موتور محاسبات و قواعد، M3 پایگاه داده، M4 جریان‌های اصلی (ثبت معامله، امروز، ژورنال)، M5 تحلیل و حاکمیت، M6 امکانات پلتفرم (قفل، پشتیبان، اعلان)، M7 پرداخت نهایی، M8 آمادهٔ انتشار.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هر مرحله وقتی تمام است که ساخت (build) سبز شود و شرط خروجی همان مرحله برقرار باشد. مهم‌ترین آزمون مرحلهٔ M1 است: خروجی موتور کاتلین باید با ۲۴۸ بردار طلایی عیناً برابر باشد.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به عامل اجازه نده بردار یا فایل مرجع را برای سبز شدن آزمون ویرایش کند؛ هر اختلاف را باید در </w:t>
      </w:r>
      <w:r>
        <w:rPr>
          <w:rStyle w:val="CodeChar"/>
          <w:rtl/>
        </w:rPr>
        <w:t xml:space="preserve">DECISIONS.md</w:t>
      </w:r>
      <w:r>
        <w:rPr>
          <w:rtl/>
        </w:rPr>
        <w:t xml:space="preserve"> بنویسد.</w:t>
      </w:r>
    </w:p>
    <w:p>
      <w:pPr>
        <w:pStyle w:val="Heading3"/>
        <w:bidi/>
      </w:pPr>
      <w:r>
        <w:rPr>
          <w:rtl/>
        </w:rPr>
        <w:t xml:space="preserve">هر چیزِ ژورنال کجای اپ است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در ژورنال و اساس‌نامه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در اپ اندرز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پارامترها (۴۵ قانون)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صفحهٔ «قوانین»؛ سخت‌تر کردن قانون فوری است و آسان‌تر کردنش ۲۴ ساعت دیرتر اعمال می‌شود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ستون‌های ژورنال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ثبت معامله (۵ گام)، جزئیات معامله و مرور پس از معامله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فرمول‌های برنامه‌ریزی: فاصلهٔ حد ضرر، ریسک به ریوارد، ریسک دلاری، سقف حجم، مارجین و قیمت لیکویید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گام چهارم ثبت معامله و ماشین‌حساب، همراه با اثر کارمزد بر ریسک به ریوارد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سایز پوزیشن = سرمایه × درصد ریسک ÷ فاصلهٔ حد ضرر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پیشنهاد سایز با حکم «بله / فقط درجه‌یک / بالای سقف / خط قرمز» و پیشنهاد اهرم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سود و زیان، R و منحنی سرمایه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کارت نتیجه، ژورنال و صفحهٔ «تحلیل»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ریسک باز و حدهای روز، هفته، افت از اوج، تعداد معامله و تعداد پوزیشن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صفحهٔ «امروز» با شش نشانگر و قفل‌هایی که ورود را می‌بندند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مرور روزانه، هفتگی و ماهانه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«مرورها» و جلسهٔ مرور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ستاپ‌ها، دیده‌بان، اشتباهات، تخلفات، چک‌لیست امنیتی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صفحه‌های خودشان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سرمایهٔ اولیه، واریز و برداشت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«دفتر سرمایه»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قالب یادداشت سریع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اشتراک یادداشت</w:t>
            </w:r>
          </w:p>
        </w:tc>
      </w:tr>
    </w:tbl>
    <w:p>
      <w:pPr>
        <w:pStyle w:val="Heading3"/>
        <w:bidi/>
      </w:pPr>
      <w:r>
        <w:rPr>
          <w:rtl/>
        </w:rPr>
        <w:t xml:space="preserve">نکته‌های صادقانه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نام «اندرز» را در بازار، مایکت و گوگل‌پلی بررسی نکرده‌ام؛ پیش از انتشار خودت جست‌وجو کن. شناسهٔ برنامه (</w:t>
      </w:r>
      <w:r>
        <w:rPr>
          <w:rStyle w:val="CodeChar"/>
          <w:rtl/>
        </w:rPr>
        <w:t xml:space="preserve">ir.andarz.app</w:t>
      </w:r>
      <w:r>
        <w:rPr>
          <w:rtl/>
        </w:rPr>
        <w:t xml:space="preserve">) فقط نمونه است.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فرمول‌های برنامه‌ریزی، حکم سایز و منحنی سرمایه حدود ۹٬۹۰۰ بار با فایل اکسلِ ممیزی‌شده مقایسه شد و اختلافی نداشت. موتور حاکمیتی (قفل‌ها، کاهش ریسک، نگه‌داشتن پس از برد بزرگ) معادل اکسل ندارد و فقط در </w:t>
      </w:r>
      <w:r>
        <w:rPr>
          <w:rStyle w:val="CodeChar"/>
          <w:rtl/>
        </w:rPr>
        <w:t xml:space="preserve">andarz_ref.py</w:t>
      </w:r>
      <w:r>
        <w:rPr>
          <w:rtl/>
        </w:rPr>
        <w:t xml:space="preserve"> و بردارها تعریف شده است.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چند جا عمداً با اکسل فرق دارد و در پرامپت ثبت شده: سرمایهٔ ابتدای روز و هفته از دفتر سرمایه خوانده می‌شود، «بالای سقف» حکم جدا دارد، خروج چندمرحله‌ای پشتیبانی می‌شود و چند مورد چک‌لیست خودکار از روی داده‌ها حساب می‌شود.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رفتار «تاریخچهٔ واردشده» از CSV (معاملات قدیمی در سرمایه و آمار حساب می‌شوند ولی قفل نمی‌سازند) بردار طلایی ندارد؛ پرامپت برایش آزمون جدا می‌خواهد.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اندرز سیگنال و توصیهٔ مالی نمی‌دهد و به معامله تشویق نمی‌کند؛ ابزاری برای انضباط است.</w:t>
      </w:r>
    </w:p>
    <w:p>
      <w:pPr>
        <w:bidi/>
      </w:pPr>
      <w:r>
        <w:rPr>
          <w:rtl/>
        </w:rPr>
        <w:t xml:space="preserve">وضعیت بازبینی: بخش موتور پرامپت خط‌به‌خط با مرجع مقایسه شد و بردارهای آزمون از نو از مرجع ساخته شدند و یکسان بودند. بخش‌های رابط و اندروید فقط بررسی سازگاری خودکار شده‌اند (کلیدها، تصمیم‌ها، شناسهٔ بردارها و ارجاع‌ها)؛ بازبینی مستقل هنوز انجام نشده است.</w:t>
      </w:r>
    </w:p>
    <w:p>
      <w:pPr>
        <w:pStyle w:val="Heading2"/>
        <w:bidi/>
      </w:pPr>
      <w:r>
        <w:rPr>
          <w:rtl/>
        </w:rPr>
        <w:t xml:space="preserve">منابع تحقیق نام</w:t>
      </w:r>
    </w:p>
    <w:p>
      <w:pPr>
        <w:pStyle w:val="ListParagraph"/>
        <w:numPr>
          <w:ilvl w:val="0"/>
          <w:numId w:val="6"/>
        </w:numPr>
        <w:bidi/>
      </w:pPr>
      <w:hyperlink r:id="rId8" w:history="1">
        <w:r>
          <w:rPr>
            <w:rStyle w:val="Hyperlink"/>
            <w:rtl/>
          </w:rPr>
          <w:t xml:space="preserve">اندرز (پند و سفارش) — دانشنامهٔ ایرانیکا</w:t>
        </w:r>
      </w:hyperlink>
    </w:p>
    <w:p>
      <w:pPr>
        <w:pStyle w:val="ListParagraph"/>
        <w:numPr>
          <w:ilvl w:val="0"/>
          <w:numId w:val="6"/>
        </w:numPr>
        <w:bidi/>
      </w:pPr>
      <w:hyperlink r:id="rId3" w:history="1">
        <w:r>
          <w:rPr>
            <w:rStyle w:val="Hyperlink"/>
            <w:rtl/>
          </w:rPr>
          <w:t xml:space="preserve">اندرز و ادبیات اندرزی در ایران پیش از اسلام، شائول شاکد — ایرانیکا</w:t>
        </w:r>
      </w:hyperlink>
    </w:p>
    <w:p>
      <w:pPr>
        <w:pStyle w:val="ListParagraph"/>
        <w:numPr>
          <w:ilvl w:val="0"/>
          <w:numId w:val="6"/>
        </w:numPr>
        <w:bidi/>
      </w:pPr>
      <w:hyperlink r:id="rId5" w:history="1">
        <w:r>
          <w:rPr>
            <w:rStyle w:val="Hyperlink"/>
            <w:rtl/>
          </w:rPr>
          <w:t xml:space="preserve">اندرزبد، عنوان اداری ساسانی، ماری‌لویز شومون — ایرانیکا</w:t>
        </w:r>
      </w:hyperlink>
    </w:p>
    <w:p>
      <w:pPr>
        <w:pStyle w:val="ListParagraph"/>
        <w:numPr>
          <w:ilvl w:val="0"/>
          <w:numId w:val="6"/>
        </w:numPr>
        <w:bidi/>
      </w:pPr>
      <w:hyperlink r:id="rId4" w:history="1">
        <w:r>
          <w:rPr>
            <w:rStyle w:val="Hyperlink"/>
            <w:rtl/>
          </w:rPr>
          <w:t xml:space="preserve">بزرگمهر بختگان — ایرانیکا</w:t>
        </w:r>
      </w:hyperlink>
    </w:p>
    <w:p>
      <w:pPr>
        <w:pStyle w:val="ListParagraph"/>
        <w:numPr>
          <w:ilvl w:val="0"/>
          <w:numId w:val="6"/>
        </w:numPr>
      </w:pPr>
      <w:hyperlink r:id="rId6" w:history="1">
        <w:r>
          <w:rPr>
            <w:rStyle w:val="Hyperlink"/>
          </w:rPr>
          <w:t xml:space="preserve">Mobad — ویکی‌پدیا</w:t>
        </w:r>
      </w:hyperlink>
      <w:r>
        <w:t xml:space="preserve"> و </w:t>
      </w:r>
      <w:hyperlink r:id="rId7" w:history="1">
        <w:r>
          <w:rPr>
            <w:rStyle w:val="Hyperlink"/>
          </w:rPr>
          <w:t xml:space="preserve">Spahbed — ویکی‌پدیا</w:t>
        </w:r>
      </w:hyperlink>
    </w:p>
    <w:p>
      <w:pPr>
        <w:pStyle w:val="ListParagraph"/>
        <w:numPr>
          <w:ilvl w:val="0"/>
          <w:numId w:val="6"/>
        </w:numPr>
        <w:bidi/>
      </w:pPr>
      <w:hyperlink r:id="rId9" w:history="1">
        <w:r>
          <w:rPr>
            <w:rStyle w:val="Hyperlink"/>
            <w:rtl/>
          </w:rPr>
          <w:t xml:space="preserve">اندرز — فرهنگ دهخدا در واژه‌یاب</w:t>
        </w:r>
      </w:hyperlink>
      <w:r>
        <w:rPr>
          <w:rtl/>
        </w:rPr>
        <w:t xml:space="preserve"> و </w:t>
      </w:r>
      <w:hyperlink r:id="rId10" w:history="1">
        <w:r>
          <w:rPr>
            <w:rStyle w:val="Hyperlink"/>
            <w:rtl/>
          </w:rPr>
          <w:t xml:space="preserve">اندرز — آبادیس</w:t>
        </w:r>
      </w:hyperlink>
    </w:p>
    <w:p>
      <w:pPr>
        <w:bidi/>
      </w:pPr>
      <w:r>
        <w:rPr>
          <w:rtl/>
        </w:rPr>
        <w:t xml:space="preserve">ریشه‌شناسی ایرانیِ باستانِ واژه را از منبع معتبر نخوانده‌ام و ننوشته‌ام؛ فقط صورت فارسی میانهٔ andarz و معنای آن آمده است.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iranicaonline.org/articles/andarz/andarz-i-andarz-and-andarz-literature-in-pre-islamic-iran/" TargetMode="External"/><Relationship Id="rId4" Type="http://schemas.openxmlformats.org/officeDocument/2006/relationships/hyperlink" Target="https://www.iranicaonline.org/?p=7201" TargetMode="External"/><Relationship Id="rId5" Type="http://schemas.openxmlformats.org/officeDocument/2006/relationships/hyperlink" Target="https://www.iranicaonline.org/articles/andarzbad-sasanian-administrative-title-meaning-chief-advisor-from-mid" TargetMode="External"/><Relationship Id="rId6" Type="http://schemas.openxmlformats.org/officeDocument/2006/relationships/hyperlink" Target="https://en.wikipedia.org/wiki/Mobad" TargetMode="External"/><Relationship Id="rId7" Type="http://schemas.openxmlformats.org/officeDocument/2006/relationships/hyperlink" Target="https://en.wikipedia.org/wiki/Spahbed" TargetMode="External"/><Relationship Id="rId8" Type="http://schemas.openxmlformats.org/officeDocument/2006/relationships/hyperlink" Target="https://iranicaonline.org/articles/andarz-precept-instruction-advice" TargetMode="External"/><Relationship Id="rId9" Type="http://schemas.openxmlformats.org/officeDocument/2006/relationships/hyperlink" Target="https://vajehyab.com/dehkhoda/%D8%A7%D9%86%D8%AF%D8%B1%D8%B2" TargetMode="External"/><Relationship Id="rId10" Type="http://schemas.openxmlformats.org/officeDocument/2006/relationships/hyperlink" Target="https://abadis.ir/fatofa/%D8%A7%D9%86%D8%AF%D8%B1%D8%B2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اندرز — معرفی‌نامه و پرامپت ساخت اپلیکیشن</dc:title>
  <dc:description>Claude Docs node/828e913a-fc4e@5 docx-w6</dc:description>
  <cp:revision>5</cp:revision>
</cp:coreProperties>
</file>