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rubix-frontend-technical-specification"/>
    <w:p>
      <w:pPr>
        <w:pStyle w:val="Heading1"/>
      </w:pPr>
      <w:r>
        <w:t xml:space="preserve">Rubix — Frontend Technical Specification</w:t>
      </w:r>
    </w:p>
    <w:p>
      <w:pPr>
        <w:pStyle w:val="FirstParagraph"/>
      </w:pPr>
      <w:r>
        <w:rPr>
          <w:bCs/>
          <w:b/>
        </w:rPr>
        <w:t xml:space="preserve">Document Status</w:t>
      </w:r>
      <w:r>
        <w:t xml:space="preserve">: Ready for React Integration</w:t>
      </w:r>
    </w:p>
    <w:p>
      <w:pPr>
        <w:pStyle w:val="BodyText"/>
      </w:pPr>
      <w:r>
        <w:rPr>
          <w:bCs/>
          <w:b/>
        </w:rPr>
        <w:t xml:space="preserve">Target Stack</w:t>
      </w:r>
      <w:r>
        <w:t xml:space="preserve">: React (JavaScript) + Axios / Fetch</w:t>
      </w:r>
    </w:p>
    <w:p>
      <w:pPr>
        <w:pStyle w:val="BodyText"/>
      </w:pPr>
      <w:r>
        <w:rPr>
          <w:bCs/>
          <w:b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(Local Dev)</w:t>
      </w:r>
    </w:p>
    <w:p>
      <w:r>
        <w:pict>
          <v:rect style="width:0;height:1.5pt" o:hralign="center" o:hrstd="t" o:hr="t"/>
        </w:pict>
      </w:r>
    </w:p>
    <w:bookmarkStart w:id="22" w:name="executive-summary-architecture-overview"/>
    <w:p>
      <w:pPr>
        <w:pStyle w:val="Heading2"/>
      </w:pPr>
      <w:r>
        <w:t xml:space="preserve">1. Executive Summary &amp; Architecture Overview</w:t>
      </w:r>
    </w:p>
    <w:bookmarkStart w:id="20" w:name="goal-overview"/>
    <w:p>
      <w:pPr>
        <w:pStyle w:val="Heading3"/>
      </w:pPr>
      <w:r>
        <w:t xml:space="preserve">1.1 Goal &amp; Overview</w:t>
      </w:r>
    </w:p>
    <w:p>
      <w:pPr>
        <w:pStyle w:val="FirstParagraph"/>
      </w:pPr>
      <w:r>
        <w:rPr>
          <w:bCs/>
          <w:b/>
        </w:rPr>
        <w:t xml:space="preserve">Rubix</w:t>
      </w:r>
      <w:r>
        <w:t xml:space="preserve"> </w:t>
      </w:r>
      <w:r>
        <w:t xml:space="preserve">is an AI-powered developer tool built for the</w:t>
      </w:r>
      <w:r>
        <w:t xml:space="preserve"> </w:t>
      </w:r>
      <w:r>
        <w:rPr>
          <w:bCs/>
          <w:b/>
        </w:rPr>
        <w:t xml:space="preserve">IBM Bob 2.0 Hackathon</w:t>
      </w:r>
      <w:r>
        <w:t xml:space="preserve">. It automates repository decomposition and microservice boundary detection for engineering teams transitioning monolithic codebases to microservices.</w:t>
      </w:r>
    </w:p>
    <w:p>
      <w:pPr>
        <w:pStyle w:val="BodyText"/>
      </w:pPr>
      <w:r>
        <w:t xml:space="preserve">It ingest a monolithic repository, runs an AST code parser and a</w:t>
      </w:r>
      <w:r>
        <w:t xml:space="preserve"> </w:t>
      </w:r>
      <w:r>
        <w:rPr>
          <w:bCs/>
          <w:b/>
        </w:rPr>
        <w:t xml:space="preserve">4-step LangGraph State Graph agent</w:t>
      </w:r>
      <w:r>
        <w:t xml:space="preserve"> </w:t>
      </w:r>
      <w:r>
        <w:t xml:space="preserve">powered by</w:t>
      </w:r>
      <w:r>
        <w:t xml:space="preserve"> </w:t>
      </w:r>
      <w:r>
        <w:rPr>
          <w:bCs/>
          <w:b/>
        </w:rPr>
        <w:t xml:space="preserve">IBM Bob 2.0 full-repository reasoning</w:t>
      </w:r>
      <w:r>
        <w:t xml:space="preserve">, applies a</w:t>
      </w:r>
      <w:r>
        <w:t xml:space="preserve"> </w:t>
      </w:r>
      <w:r>
        <w:rPr>
          <w:bCs/>
          <w:b/>
        </w:rPr>
        <w:t xml:space="preserve">3-signal coupling/cohesion heuristic</w:t>
      </w:r>
      <w:r>
        <w:t xml:space="preserve">, and outputs an interactive microservice boundary map with risk scores, producer/consumer data ownership relationships, and a recommended extraction order.</w:t>
      </w:r>
    </w:p>
    <w:p>
      <w:r>
        <w:pict>
          <v:rect style="width:0;height:1.5pt" o:hralign="center" o:hrstd="t" o:hr="t"/>
        </w:pict>
      </w:r>
    </w:p>
    <w:bookmarkEnd w:id="20"/>
    <w:bookmarkStart w:id="21" w:name="core-system-concepts"/>
    <w:p>
      <w:pPr>
        <w:pStyle w:val="Heading3"/>
      </w:pPr>
      <w:r>
        <w:t xml:space="preserve">1.2 Core System Concepts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4-Step DDD LangGraph Agent</w:t>
      </w:r>
      <w:r>
        <w:t xml:space="preserve">: The backend orchestrates a 4-step sequence: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Domain Event Extraction</w:t>
      </w:r>
      <w:r>
        <w:t xml:space="preserve"> </w:t>
      </w:r>
      <w:r>
        <w:t xml:space="preserve">(AST parsing &amp; event storming)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Bounded Context Identification</w:t>
      </w:r>
      <w:r>
        <w:t xml:space="preserve"> </w:t>
      </w:r>
      <w:r>
        <w:t xml:space="preserve">(IBM Bob 2.0 whole-repo capability grouping)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Coupling Audit</w:t>
      </w:r>
      <w:r>
        <w:t xml:space="preserve"> </w:t>
      </w:r>
      <w:r>
        <w:t xml:space="preserve">(3-signal heuristic + producer/consumer data relationship audit)</w:t>
      </w:r>
    </w:p>
    <w:p>
      <w:pPr>
        <w:numPr>
          <w:ilvl w:val="1"/>
          <w:numId w:val="1002"/>
        </w:numPr>
        <w:pStyle w:val="Compact"/>
      </w:pPr>
      <w:r>
        <w:rPr>
          <w:iCs/>
          <w:i/>
        </w:rPr>
        <w:t xml:space="preserve">Extraction Candidate Ranking</w:t>
      </w:r>
      <w:r>
        <w:t xml:space="preserve"> </w:t>
      </w:r>
      <w:r>
        <w:t xml:space="preserve">(Assigning recommended extraction order)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Producer / Consumer Data Ownership</w:t>
      </w:r>
      <w:r>
        <w:t xml:space="preserve">: Distinguishes services that merely read a database resource from services that</w:t>
      </w:r>
      <w:r>
        <w:t xml:space="preserve"> </w:t>
      </w:r>
      <w:r>
        <w:rPr>
          <w:bCs/>
          <w:b/>
        </w:rPr>
        <w:t xml:space="preserve">create a resource another service cannot function without</w:t>
      </w:r>
      <w:r>
        <w:t xml:space="preserve"> </w:t>
      </w:r>
      <w:r>
        <w:t xml:space="preserve">(flagged via</w:t>
      </w:r>
      <w:r>
        <w:t xml:space="preserve"> </w:t>
      </w:r>
      <w:r>
        <w:rPr>
          <w:rStyle w:val="VerbatimChar"/>
        </w:rPr>
        <w:t xml:space="preserve">creates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reads</w:t>
      </w:r>
      <w:r>
        <w:t xml:space="preserve"> </w:t>
      </w:r>
      <w:r>
        <w:t xml:space="preserve">with explicit</w:t>
      </w:r>
      <w:r>
        <w:t xml:space="preserve"> </w:t>
      </w:r>
      <w:r>
        <w:rPr>
          <w:rStyle w:val="VerbatimChar"/>
        </w:rPr>
        <w:t xml:space="preserve">produced_by</w:t>
      </w:r>
      <w:r>
        <w:t xml:space="preserve"> </w:t>
      </w:r>
      <w:r>
        <w:t xml:space="preserve">owner tags).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3-Signal Coupling Risk Score</w:t>
      </w:r>
      <w:r>
        <w:t xml:space="preserve">: Scores each boundary cut from</w:t>
      </w:r>
      <w:r>
        <w:t xml:space="preserve"> </w:t>
      </w:r>
      <w:r>
        <w:rPr>
          <w:rStyle w:val="VerbatimChar"/>
        </w:rPr>
        <w:t xml:space="preserve">0.00</w:t>
      </w:r>
      <w:r>
        <w:t xml:space="preserve"> </w:t>
      </w:r>
      <w:r>
        <w:t xml:space="preserve">(Clean boundary) to</w:t>
      </w:r>
      <w:r>
        <w:t xml:space="preserve"> </w:t>
      </w:r>
      <w:r>
        <w:rPr>
          <w:rStyle w:val="VerbatimChar"/>
        </w:rPr>
        <w:t xml:space="preserve">1.00</w:t>
      </w:r>
      <w:r>
        <w:t xml:space="preserve"> </w:t>
      </w:r>
      <w:r>
        <w:t xml:space="preserve">(Deep entanglement) using a weighted formula:</w:t>
      </w:r>
      <w:r>
        <w:t xml:space="preserve"> </w:t>
      </w:r>
      <w:r>
        <w:t xml:space="preserve">Risk Score = 0.45 · S_data + 0.35 · S_calls + 0.20 · S_density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Asynchronous Polling Pattern</w:t>
      </w:r>
      <w:r>
        <w:t xml:space="preserve">: Analysis jobs run asynchronously in background tasks. The React frontend kicks off a job via</w:t>
      </w:r>
      <w:r>
        <w:t xml:space="preserve"> </w:t>
      </w:r>
      <w:r>
        <w:rPr>
          <w:rStyle w:val="VerbatimChar"/>
        </w:rPr>
        <w:t xml:space="preserve">POST /analyze</w:t>
      </w:r>
      <w:r>
        <w:t xml:space="preserve">, polls</w:t>
      </w:r>
      <w:r>
        <w:t xml:space="preserve"> </w:t>
      </w:r>
      <w:r>
        <w:rPr>
          <w:rStyle w:val="VerbatimChar"/>
        </w:rPr>
        <w:t xml:space="preserve">GET /analyze/{job_id}/status</w:t>
      </w:r>
      <w:r>
        <w:t xml:space="preserve"> </w:t>
      </w:r>
      <w:r>
        <w:t xml:space="preserve">every 1000ms to render live step-by-step logs and progress bars, and fetches</w:t>
      </w:r>
      <w:r>
        <w:t xml:space="preserve"> </w:t>
      </w:r>
      <w:r>
        <w:rPr>
          <w:rStyle w:val="VerbatimChar"/>
        </w:rPr>
        <w:t xml:space="preserve">GET /analyze/{job_id}/result</w:t>
      </w:r>
      <w:r>
        <w:t xml:space="preserve"> </w:t>
      </w:r>
      <w:r>
        <w:t xml:space="preserve">upon completion.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pi-communication-standard-headers"/>
    <w:p>
      <w:pPr>
        <w:pStyle w:val="Heading2"/>
      </w:pPr>
      <w:r>
        <w:t xml:space="preserve">2. API Communication &amp; Standard Headers</w:t>
      </w:r>
    </w:p>
    <w:bookmarkStart w:id="23" w:name="communication-flow"/>
    <w:p>
      <w:pPr>
        <w:pStyle w:val="Heading3"/>
      </w:pPr>
      <w:r>
        <w:t xml:space="preserve">2.1 Communication Flow</w:t>
      </w:r>
    </w:p>
    <w:p>
      <w:pPr>
        <w:pStyle w:val="SourceCode"/>
      </w:pPr>
      <w:r>
        <w:rPr>
          <w:rStyle w:val="VerbatimChar"/>
        </w:rPr>
        <w:t xml:space="preserve">[ React Frontend ] ---&gt; POST /analyze { repo_url } ---------&gt; [ FastAPI Backend ]</w:t>
      </w:r>
      <w:r>
        <w:br/>
      </w:r>
      <w:r>
        <w:rPr>
          <w:rStyle w:val="VerbatimChar"/>
        </w:rPr>
        <w:t xml:space="preserve">[ React Frontend ] &lt;--- 202 Accepted { job_id, status } &lt;--- [ FastAPI Backend ]</w:t>
      </w:r>
      <w:r>
        <w:br/>
      </w:r>
      <w:r>
        <w:br/>
      </w:r>
      <w:r>
        <w:rPr>
          <w:rStyle w:val="VerbatimChar"/>
        </w:rPr>
        <w:t xml:space="preserve">[ React Frontend ] ---&gt; GET /analyze/{job_id}/status -------&gt; [ FastAPI Backend ]</w:t>
      </w:r>
      <w:r>
        <w:br/>
      </w:r>
      <w:r>
        <w:rPr>
          <w:rStyle w:val="VerbatimChar"/>
        </w:rPr>
        <w:t xml:space="preserve">[ React Frontend ] &lt;--- 200 OK { progress_pct, logs } &lt;----- [ FastAPI Backend ]</w:t>
      </w:r>
      <w:r>
        <w:br/>
      </w:r>
      <w:r>
        <w:br/>
      </w:r>
      <w:r>
        <w:rPr>
          <w:rStyle w:val="VerbatimChar"/>
        </w:rPr>
        <w:t xml:space="preserve">[ React Frontend ] ---&gt; GET /analyze/{job_id}/result -------&gt; [ FastAPI Backend ]</w:t>
      </w:r>
      <w:r>
        <w:br/>
      </w:r>
      <w:r>
        <w:rPr>
          <w:rStyle w:val="VerbatimChar"/>
        </w:rPr>
        <w:t xml:space="preserve">[ React Frontend ] &lt;--- 200 OK { services, summary } &lt;------ [ FastAPI Backend ]</w:t>
      </w:r>
    </w:p>
    <w:bookmarkEnd w:id="23"/>
    <w:bookmarkStart w:id="24" w:name="standard-request-headers"/>
    <w:p>
      <w:pPr>
        <w:pStyle w:val="Heading3"/>
      </w:pPr>
      <w:r>
        <w:t xml:space="preserve">2.2 Standard Request Headers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Content-Type: application/json</w:t>
      </w:r>
    </w:p>
    <w:p>
      <w:pPr>
        <w:numPr>
          <w:ilvl w:val="0"/>
          <w:numId w:val="1003"/>
        </w:numPr>
        <w:pStyle w:val="Compact"/>
      </w:pPr>
      <w:r>
        <w:t xml:space="preserve">CORS is enabled (</w:t>
      </w:r>
      <w:r>
        <w:rPr>
          <w:rStyle w:val="VerbatimChar"/>
        </w:rPr>
        <w:t xml:space="preserve">allow_origins=["*"]</w:t>
      </w:r>
      <w:r>
        <w:t xml:space="preserve">) for all local dev ports (</w:t>
      </w:r>
      <w:r>
        <w:rPr>
          <w:rStyle w:val="VerbatimChar"/>
        </w:rPr>
        <w:t xml:space="preserve">http://localhost:3000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, etc.).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imary-ui-modules-views"/>
    <w:p>
      <w:pPr>
        <w:pStyle w:val="Heading2"/>
      </w:pPr>
      <w:r>
        <w:t xml:space="preserve">3. Primary UI Modules &amp; Views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 /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Components &amp; Data Rendered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Landing &amp; Repo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view for entering GitHub repository URLs or choosing demo repos.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URL input field; Preset sample repo cards (</w:t>
            </w:r>
            <w:r>
              <w:rPr>
                <w:rStyle w:val="VerbatimChar"/>
              </w:rPr>
              <w:t xml:space="preserve">GET /sample-repos</w:t>
            </w:r>
            <w:r>
              <w:t xml:space="preserve">); Submit trigger button (</w:t>
            </w:r>
            <w:r>
              <w:rPr>
                <w:rStyle w:val="VerbatimChar"/>
              </w:rPr>
              <w:t xml:space="preserve">POST /analyze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 Analysis Progress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execution view displayed while analysis runs.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 progress bar (</w:t>
            </w:r>
            <w:r>
              <w:rPr>
                <w:rStyle w:val="VerbatimChar"/>
              </w:rPr>
              <w:t xml:space="preserve">progress_pct</w:t>
            </w:r>
            <w:r>
              <w:t xml:space="preserve">); Current step header; Auto-scrolling dark terminal block (</w:t>
            </w:r>
            <w:r>
              <w:rPr>
                <w:rStyle w:val="VerbatimChar"/>
              </w:rPr>
              <w:t xml:space="preserve">logs</w:t>
            </w:r>
            <w:r>
              <w:t xml:space="preserve"> </w:t>
            </w:r>
            <w:r>
              <w:t xml:space="preserve">array).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Microservice Boundary Map &amp; Detail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report dashboard showing proposed microservice breakdown.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service cards; Risk score badges (Low/Medium/High); Extraction order pills (</w:t>
            </w:r>
            <w:r>
              <w:rPr>
                <w:rStyle w:val="VerbatimChar"/>
              </w:rPr>
              <w:t xml:space="preserve">#1 Extract First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owned_data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external_dependencies</w:t>
            </w:r>
            <w:r>
              <w:t xml:space="preserve"> </w:t>
            </w:r>
            <w:r>
              <w:t xml:space="preserve">cards (</w:t>
            </w:r>
            <w:r>
              <w:rPr>
                <w:rStyle w:val="VerbatimChar"/>
              </w:rPr>
              <w:t xml:space="preserve">produced_by</w:t>
            </w:r>
            <w:r>
              <w:t xml:space="preserve"> </w:t>
            </w:r>
            <w:r>
              <w:t xml:space="preserve">tags).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41" w:name="complete-api-endpoint-reference"/>
    <w:p>
      <w:pPr>
        <w:pStyle w:val="Heading2"/>
      </w:pPr>
      <w:r>
        <w:t xml:space="preserve">4. Complete API Endpoint Reference</w:t>
      </w:r>
    </w:p>
    <w:bookmarkStart w:id="35" w:name="ingestion-analysis-router-analyze"/>
    <w:p>
      <w:pPr>
        <w:pStyle w:val="Heading3"/>
      </w:pPr>
      <w:r>
        <w:t xml:space="preserve">4.1 Ingestion &amp; Analysis Router (</w:t>
      </w:r>
      <w:r>
        <w:rPr>
          <w:rStyle w:val="VerbatimChar"/>
        </w:rPr>
        <w:t xml:space="preserve">/analyze</w:t>
      </w:r>
      <w:r>
        <w:t xml:space="preserve">)</w:t>
      </w:r>
    </w:p>
    <w:bookmarkStart w:id="29" w:name="start-analysis-job"/>
    <w:p>
      <w:pPr>
        <w:pStyle w:val="Heading4"/>
      </w:pPr>
      <w:r>
        <w:t xml:space="preserve">1. Start Analysis Job</w:t>
      </w:r>
    </w:p>
    <w:p>
      <w:pPr>
        <w:pStyle w:val="FirstParagraph"/>
      </w:pPr>
      <w:r>
        <w:t xml:space="preserve">Kicks off a new whole-repository analysis job via the LangGraph agent pipeline.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HTTP 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/analyze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 Required</w:t>
      </w:r>
      <w:r>
        <w:t xml:space="preserve">: No (Public)</w:t>
      </w:r>
    </w:p>
    <w:bookmarkStart w:id="27" w:name="request-body"/>
    <w:p>
      <w:pPr>
        <w:pStyle w:val="Heading5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"https://github.com/techbyFEMI/routine-backend"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response-body-202-accepted"/>
    <w:p>
      <w:pPr>
        <w:pStyle w:val="Heading5"/>
      </w:pPr>
      <w:r>
        <w:t xml:space="preserve">Response Body (202 Accepted)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"job_90edc345"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oll-job-status-terminal-logs"/>
    <w:p>
      <w:pPr>
        <w:pStyle w:val="Heading4"/>
      </w:pPr>
      <w:r>
        <w:t xml:space="preserve">2. Poll Job Status &amp; Terminal Logs</w:t>
      </w:r>
    </w:p>
    <w:p>
      <w:pPr>
        <w:pStyle w:val="FirstParagraph"/>
      </w:pPr>
      <w:r>
        <w:t xml:space="preserve">Poll this endpoint every 1000ms after receiving a</w:t>
      </w:r>
      <w:r>
        <w:t xml:space="preserve"> </w:t>
      </w:r>
      <w:r>
        <w:rPr>
          <w:rStyle w:val="VerbatimChar"/>
        </w:rPr>
        <w:t xml:space="preserve">job_id</w:t>
      </w:r>
      <w:r>
        <w:t xml:space="preserve"> </w:t>
      </w:r>
      <w:r>
        <w:t xml:space="preserve">to update progress bars and stream real-time logs.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HTTP 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/analyze/{job_id}/status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 Required</w:t>
      </w:r>
      <w:r>
        <w:t xml:space="preserve">: No (Public)</w:t>
      </w:r>
    </w:p>
    <w:bookmarkStart w:id="30" w:name="response-body-200-ok"/>
    <w:p>
      <w:pPr>
        <w:pStyle w:val="Heading5"/>
      </w:pPr>
      <w:r>
        <w:t xml:space="preserve">Response Body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"job_90edc345"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"[Step 2/4] Identified 3 bounded context candidate services via IBM Bob 2.0."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"Fetching repository source code..."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"Invoking LangGraph StateGraph pipeline..."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"[Step 1/4] Parsed repository — 68 modules indexed, 112 dependency paths, 13 tables mapped."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"[Step 2/4] Identified 3 bounded context candidate services via IBM Bob 2.0."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possible-status-values"/>
    <w:p>
      <w:pPr>
        <w:pStyle w:val="Heading5"/>
      </w:pPr>
      <w:r>
        <w:t xml:space="preserve">Possible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Values: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"queued"</w:t>
      </w:r>
      <w:r>
        <w:t xml:space="preserve">: Job registered in queue.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"running"</w:t>
      </w:r>
      <w:r>
        <w:t xml:space="preserve">: LangGraph agent actively executing.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"done"</w:t>
      </w:r>
      <w:r>
        <w:t xml:space="preserve">: Analysis complete — ready to fetch result.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"failed"</w:t>
      </w:r>
      <w:r>
        <w:t xml:space="preserve">: Pipeline error encountered.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fetch-final-analysis-result"/>
    <w:p>
      <w:pPr>
        <w:pStyle w:val="Heading4"/>
      </w:pPr>
      <w:r>
        <w:t xml:space="preserve">3. Fetch Final Analysis Result</w:t>
      </w:r>
    </w:p>
    <w:p>
      <w:pPr>
        <w:pStyle w:val="FirstParagraph"/>
      </w:pPr>
      <w:r>
        <w:t xml:space="preserve">Call this endpoint once</w:t>
      </w:r>
      <w:r>
        <w:t xml:space="preserve"> </w:t>
      </w:r>
      <w:r>
        <w:rPr>
          <w:rStyle w:val="VerbatimChar"/>
        </w:rPr>
        <w:t xml:space="preserve">GET /analyze/{job_id}/status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status: "done"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HTTP 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/analyze/{job_id}/result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 Required</w:t>
      </w:r>
      <w:r>
        <w:t xml:space="preserve">: No (Public)</w:t>
      </w:r>
    </w:p>
    <w:bookmarkStart w:id="33" w:name="response-body-200-ok-1"/>
    <w:p>
      <w:pPr>
        <w:pStyle w:val="Heading5"/>
      </w:pPr>
      <w:r>
        <w:t xml:space="preserve">Response Body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"job_90edc345"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"https://github.com/techbyFEMI/routine-backend"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"proposed_name"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"TaskManagementService"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"owned_modules"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"app/routers/tasks.py"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"app/services/task.py"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"owned_data"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"external_dependencies"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inbound cross-boundary imports"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"Exclusive ownership of tasks table"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"fan_out_count"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"recommended_extraction_order"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"proposed_name"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"LeaderboardService"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"owned_modules"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"app/routers/leaderboard.py"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"app/services/leaderboard.py"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"owned_data"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"leaderboard_entries"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"external_dependencies"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"relationship"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"produced_by"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"TaskManagementService"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"Consumes 'tasks' produced by TaskManagementService"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"fan_out_count"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"recommended_extraction_order"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"unassigned_modules"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"utils/helpers.py"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utility-sample-router"/>
    <w:p>
      <w:pPr>
        <w:pStyle w:val="Heading3"/>
      </w:pPr>
      <w:r>
        <w:t xml:space="preserve">4.2 Utility &amp; Sample Router</w:t>
      </w:r>
    </w:p>
    <w:bookmarkStart w:id="37" w:name="list-sample-repositories"/>
    <w:p>
      <w:pPr>
        <w:pStyle w:val="Heading4"/>
      </w:pPr>
      <w:r>
        <w:t xml:space="preserve">4. List Sample Repositories</w:t>
      </w:r>
    </w:p>
    <w:p>
      <w:pPr>
        <w:pStyle w:val="FirstParagraph"/>
      </w:pPr>
      <w:r>
        <w:t xml:space="preserve">Fetches preset sample repos for the dropdown selector on the landing page.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HTTP 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/sample-repos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 Required</w:t>
      </w:r>
      <w:r>
        <w:t xml:space="preserve">: No (Public)</w:t>
      </w:r>
    </w:p>
    <w:bookmarkStart w:id="36" w:name="response-body-200-ok-2"/>
    <w:p>
      <w:pPr>
        <w:pStyle w:val="Heading5"/>
      </w:pPr>
      <w:r>
        <w:t xml:space="preserve">Response Body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"cmpdx"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"CMPDx — Squad Accountability 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 + Supabase + React monolith with Goal Architect agent, Leaderboard, Insights Engine, and Activity Feed all sharing core users/tasks tables."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"https://github.com/your-org/cmpdx-hackathon-fork"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health-check"/>
    <w:p>
      <w:pPr>
        <w:pStyle w:val="Heading4"/>
      </w:pPr>
      <w:r>
        <w:t xml:space="preserve">5. Health Check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HTTP 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 Required</w:t>
      </w:r>
      <w:r>
        <w:t xml:space="preserve">: No (Public)</w:t>
      </w:r>
    </w:p>
    <w:bookmarkStart w:id="38" w:name="response-body-200-ok-3"/>
    <w:p>
      <w:pPr>
        <w:pStyle w:val="Heading5"/>
      </w:pPr>
      <w:r>
        <w:t xml:space="preserve">Response Body (200 OK)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End w:id="41"/>
    <w:bookmarkStart w:id="44" w:name="X5863bdbd5a7c649dc57378ef5ee1a73281a7930"/>
    <w:p>
      <w:pPr>
        <w:pStyle w:val="Heading2"/>
      </w:pPr>
      <w:r>
        <w:t xml:space="preserve">5. React Integration Patterns &amp; Recommendations</w:t>
      </w:r>
    </w:p>
    <w:bookmarkStart w:id="42" w:name="Xb006467c71fa10e956c5c5111a24a8eb8fd566c"/>
    <w:p>
      <w:pPr>
        <w:pStyle w:val="Heading3"/>
      </w:pPr>
      <w:r>
        <w:t xml:space="preserve">5.1 Analysis Execution &amp; Polling Hook (Plain React / JavaScript)</w:t>
      </w:r>
    </w:p>
    <w:p>
      <w:pPr>
        <w:pStyle w:val="FirstParagraph"/>
      </w:pPr>
      <w:r>
        <w:t xml:space="preserve">Here is a ready-to-use custom React hook in plain JavaScript (</w:t>
      </w:r>
      <w:r>
        <w:rPr>
          <w:rStyle w:val="VerbatimChar"/>
        </w:rPr>
        <w:t xml:space="preserve">useAnalysis.js</w:t>
      </w:r>
      <w:r>
        <w:t xml:space="preserve">) using standard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useAnalysis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setJobId]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Trigger Analysis Job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(repoUrl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/analyze`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repo_url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repo_ref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setJobId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start analysis'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Poll Status every 1000ms until done/failed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jobId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/analyze/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/status`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job completed, fetch final result payload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/analyze/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/result`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(resultRes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current_step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'Analysis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 polling 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startAnalysis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ui-rendering-guidance-for-components"/>
    <w:p>
      <w:pPr>
        <w:pStyle w:val="Heading3"/>
      </w:pPr>
      <w:r>
        <w:t xml:space="preserve">5.2 UI Rendering Guidance for Components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Extraction Candidate Ranking Badges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Render</w:t>
      </w:r>
      <w:r>
        <w:t xml:space="preserve"> </w:t>
      </w:r>
      <w:r>
        <w:rPr>
          <w:rStyle w:val="VerbatimChar"/>
        </w:rPr>
        <w:t xml:space="preserve">recommended_extraction_order</w:t>
      </w:r>
      <w:r>
        <w:t xml:space="preserve"> </w:t>
      </w:r>
      <w:r>
        <w:t xml:space="preserve">prominently as</w:t>
      </w:r>
      <w:r>
        <w:t xml:space="preserve"> </w:t>
      </w:r>
      <w:r>
        <w:rPr>
          <w:rStyle w:val="VerbatimChar"/>
        </w:rPr>
        <w:t xml:space="preserve">#1 Extract 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#2 Extract Second</w:t>
      </w:r>
      <w:r>
        <w:t xml:space="preserve">, etc.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Risk Score Badges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0.00 – 0.39</w:t>
      </w:r>
      <w:r>
        <w:t xml:space="preserve">:</w:t>
      </w:r>
      <w:r>
        <w:t xml:space="preserve"> </w:t>
      </w:r>
      <w:r>
        <w:rPr>
          <w:rStyle w:val="VerbatimChar"/>
        </w:rPr>
        <w:t xml:space="preserve">Low Risk — Clean Boundary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0.40 – 0.69</w:t>
      </w:r>
      <w:r>
        <w:t xml:space="preserve">:</w:t>
      </w:r>
      <w:r>
        <w:t xml:space="preserve"> </w:t>
      </w:r>
      <w:r>
        <w:rPr>
          <w:rStyle w:val="VerbatimChar"/>
        </w:rPr>
        <w:t xml:space="preserve">Medium Risk — Manageable Coupling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0.70 – 1.00</w:t>
      </w:r>
      <w:r>
        <w:t xml:space="preserve">:</w:t>
      </w:r>
      <w:r>
        <w:t xml:space="preserve"> </w:t>
      </w:r>
      <w:r>
        <w:rPr>
          <w:rStyle w:val="VerbatimChar"/>
        </w:rPr>
        <w:t xml:space="preserve">High Risk — Deep Entanglement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Ownership Cards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Display</w:t>
      </w:r>
      <w:r>
        <w:t xml:space="preserve"> </w:t>
      </w:r>
      <w:r>
        <w:rPr>
          <w:rStyle w:val="VerbatimChar"/>
        </w:rPr>
        <w:t xml:space="preserve">owned_data</w:t>
      </w:r>
      <w:r>
        <w:t xml:space="preserve"> </w:t>
      </w:r>
      <w:r>
        <w:t xml:space="preserve">resources with a</w:t>
      </w:r>
      <w:r>
        <w:t xml:space="preserve"> </w:t>
      </w:r>
      <w:r>
        <w:rPr>
          <w:rStyle w:val="VerbatimChar"/>
        </w:rPr>
        <w:t xml:space="preserve">"creates"</w:t>
      </w:r>
      <w:r>
        <w:t xml:space="preserve"> </w:t>
      </w:r>
      <w:r>
        <w:t xml:space="preserve">tag.</w:t>
      </w:r>
    </w:p>
    <w:p>
      <w:pPr>
        <w:numPr>
          <w:ilvl w:val="1"/>
          <w:numId w:val="1013"/>
        </w:numPr>
        <w:pStyle w:val="Compact"/>
      </w:pPr>
      <w:r>
        <w:t xml:space="preserve">Display</w:t>
      </w:r>
      <w:r>
        <w:t xml:space="preserve"> </w:t>
      </w:r>
      <w:r>
        <w:rPr>
          <w:rStyle w:val="VerbatimChar"/>
        </w:rPr>
        <w:t xml:space="preserve">external_dependencies</w:t>
      </w:r>
      <w:r>
        <w:t xml:space="preserve"> </w:t>
      </w:r>
      <w:r>
        <w:t xml:space="preserve">resources with a</w:t>
      </w:r>
      <w:r>
        <w:t xml:space="preserve"> </w:t>
      </w:r>
      <w:r>
        <w:rPr>
          <w:rStyle w:val="VerbatimChar"/>
        </w:rPr>
        <w:t xml:space="preserve">"reads"</w:t>
      </w:r>
      <w:r>
        <w:t xml:space="preserve"> </w:t>
      </w:r>
      <w:r>
        <w:t xml:space="preserve">tag and an explicit</w:t>
      </w:r>
      <w:r>
        <w:t xml:space="preserve"> </w:t>
      </w:r>
      <w:r>
        <w:rPr>
          <w:rStyle w:val="VerbatimChar"/>
        </w:rPr>
        <w:t xml:space="preserve">"Produced by: [Service Name]"</w:t>
      </w:r>
      <w:r>
        <w:t xml:space="preserve"> </w:t>
      </w:r>
      <w:r>
        <w:t xml:space="preserve">pill if</w:t>
      </w:r>
      <w:r>
        <w:t xml:space="preserve"> </w:t>
      </w:r>
      <w:r>
        <w:rPr>
          <w:rStyle w:val="VerbatimChar"/>
        </w:rPr>
        <w:t xml:space="preserve">produced_by</w:t>
      </w:r>
      <w:r>
        <w:t xml:space="preserve"> </w:t>
      </w:r>
      <w:r>
        <w:t xml:space="preserve">is present.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Live Progress Terminal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Map over</w:t>
      </w:r>
      <w:r>
        <w:t xml:space="preserve"> </w:t>
      </w:r>
      <w:r>
        <w:rPr>
          <w:rStyle w:val="VerbatimChar"/>
        </w:rPr>
        <w:t xml:space="preserve">status.logs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or terminal window container with</w:t>
      </w:r>
      <w:r>
        <w:t xml:space="preserve"> </w:t>
      </w:r>
      <w:r>
        <w:rPr>
          <w:rStyle w:val="VerbatimChar"/>
        </w:rPr>
        <w:t xml:space="preserve">autoScroll</w:t>
      </w:r>
      <w:r>
        <w:t xml:space="preserve"> </w:t>
      </w:r>
      <w:r>
        <w:t xml:space="preserve">enabled so the judge can see Bob’s step-by-step reasoning live.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tandard-error-response-format"/>
    <w:p>
      <w:pPr>
        <w:pStyle w:val="Heading2"/>
      </w:pPr>
      <w:r>
        <w:t xml:space="preserve">6. Standard Error Response Format</w:t>
      </w:r>
    </w:p>
    <w:p>
      <w:pPr>
        <w:pStyle w:val="FirstParagraph"/>
      </w:pPr>
      <w:r>
        <w:t xml:space="preserve">All API error responses conform to FastAPI’s standard JSON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 describing the failure."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 Bad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JSON body or malformed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job_id</w:t>
            </w:r>
            <w:r>
              <w:t xml:space="preserve"> </w:t>
            </w:r>
            <w:r>
              <w:t xml:space="preserve">does not exist or expired.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422 Unprocessable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execution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failed during repository clone or parsing.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 Internal Server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Unexpected internal backend error.</w:t>
            </w:r>
          </w:p>
        </w:tc>
      </w:tr>
    </w:tbl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2026-09-23T19:09:23Z</dcterms:created>
  <dcterms:modified xsi:type="dcterms:W3CDTF">2026-09-23T19:09:23Z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