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Défaillance cartes OTN</w:t>
      </w:r>
    </w:p>
    <w:p>
      <w:pPr>
        <w:jc w:val="center"/>
      </w:pPr>
      <w:r>
        <w:rPr>
          <w:sz w:val="22"/>
        </w:rPr>
        <w:t>OPSSD-03.03.M0.22-P-V1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MÉTHODE D'OPÉRATION ET DE PROCÉDURE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OPSSD-03.03.M0.22-P-V1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Titre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Défaillance cartes OTN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Confidentialité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Date d'entrée en vigueur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01/03/2026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Date de révision planifiée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01/03/2028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01/04/2026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pour pannes de cartes (racks service, photonique) sur châssis OTN.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LB (Low-BW) : THx-OP9608-LB-xx : AoC10B 1Go</w:t>
      </w:r>
    </w:p>
    <w:p>
      <w:r>
        <w:rPr>
          <w:sz w:val="18"/>
        </w:rPr>
        <w:t>HB (High-BW) : THx-OP9608-HB-xx : TM100_2EN 10Go</w:t>
      </w:r>
    </w:p>
    <w:p>
      <w:r>
        <w:rPr>
          <w:sz w:val="18"/>
        </w:rPr>
        <w:t>VHB (Very-High-BW) : THx-OP9608-VHB-xx TM1200 100-400Go</w:t>
      </w:r>
    </w:p>
    <w:p>
      <w:r>
        <w:rPr>
          <w:sz w:val="18"/>
        </w:rPr>
        <w:t>Contrôleur : RCP08_O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Escalade TLH N+1</w:t>
      </w:r>
    </w:p>
    <w:p>
      <w:r>
        <w:rPr>
          <w:sz w:val="18"/>
        </w:rPr>
        <w:t>Support Ribbon</w:t>
      </w:r>
    </w:p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FAN + RCP inaccessible; Alarme alimentation chassis; Alarme rectifier; Alarme température chassis.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Service Desk</w:t>
      </w:r>
    </w:p>
    <w:p>
      <w:r>
        <w:rPr>
          <w:sz w:val="20"/>
        </w:rPr>
        <w:t>Criticitées : CRITIQUE, MAJEUR.</w:t>
      </w:r>
    </w:p>
    <w:p>
      <w:r>
        <w:rPr>
          <w:sz w:val="20"/>
        </w:rPr>
        <w:t>Escalade N+1 si TTR &gt; 60 min ou impact service client.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</w:p>
    <w:p>
      <w:r>
        <w:rPr>
          <w:sz w:val="20"/>
        </w:rPr>
        <w:t>Les pannes sont majoritairement sur cartes service (AoC10B/TM100_2EN) et cartes management (RCP).). TTR moyen : 30–90 min ; Spare disponible dans aus stock Connectivité.  Ribbon échange le matériel (RMA) si carte non récupérable.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Identifier le type de châssis affecté : LB / HB / VHB.</w:t>
      </w:r>
    </w:p>
    <w:p>
      <w:pPr>
        <w:pStyle w:val="ListNumber"/>
      </w:pPr>
      <w:r>
        <w:rPr>
          <w:sz w:val="20"/>
        </w:rPr>
        <w:t>Localiser le slot défaillant via Lightsoft (alarme carte IS/FAIL).</w:t>
      </w:r>
    </w:p>
    <w:p>
      <w:pPr>
        <w:pStyle w:val="ListNumber"/>
      </w:pPr>
      <w:r>
        <w:rPr>
          <w:sz w:val="20"/>
        </w:rPr>
        <w:t>Vérifier LED carte : IS (vert allumé) = opérationnel ; FAIL (rouge) = défaut.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Appliquer SOP 11-SOP.</w:t>
      </w:r>
    </w:p>
    <w:p>
      <w:pPr>
        <w:pStyle w:val="ListNumber"/>
      </w:pPr>
      <w:r>
        <w:rPr>
          <w:sz w:val="20"/>
        </w:rPr>
        <w:t>Si carte IS/FAIL : hot-swap possible sur la plupart des cartes service. → 13-SOP</w:t>
      </w:r>
    </w:p>
    <w:p>
      <w:pPr>
        <w:pStyle w:val="ListNumber"/>
      </w:pPr>
      <w:r>
        <w:rPr>
          <w:sz w:val="20"/>
        </w:rPr>
        <w:t>Si RCP défaillant : basculer sur RCP-B (redondance 1+1). → Escalade N+1/Connectivité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Etape 2.</w:t>
      </w:r>
    </w:p>
    <w:p>
      <w:pPr>
        <w:pStyle w:val="ListNumber"/>
      </w:pPr>
      <w:r>
        <w:rPr>
          <w:sz w:val="20"/>
        </w:rPr>
        <w:t>Si échange matériel : contacter Connectivité + ouvrir ticket RMA</w:t>
      </w:r>
    </w:p>
    <w:p>
      <w:pPr>
        <w:pStyle w:val="ListNumber"/>
      </w:pPr>
      <w:r>
        <w:rPr>
          <w:sz w:val="20"/>
        </w:rPr>
        <w:t>Documenter les actions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Appliquer la SOP identifiée en Etape 2.</w:t>
      </w:r>
    </w:p>
    <w:p>
      <w:pPr>
        <w:pStyle w:val="ListNumber"/>
      </w:pPr>
      <w:r>
        <w:rPr>
          <w:sz w:val="20"/>
        </w:rPr>
        <w:t>Si échange matériel : contacter Connectivité + ouvrir ticket RMA</w:t>
      </w:r>
    </w:p>
    <w:p>
      <w:pPr>
        <w:pStyle w:val="ListNumber"/>
      </w:pPr>
      <w:r>
        <w:rPr>
          <w:sz w:val="20"/>
        </w:rPr>
        <w:t>Documenter les actions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AoC10B : carte service 1G</w:t>
      </w:r>
    </w:p>
    <w:p>
      <w:r>
        <w:rPr>
          <w:sz w:val="20"/>
        </w:rPr>
        <w:t>TM100_2EN : 10G, 2 ports ligne QSFP28, agrège flux 10G/40G.</w:t>
      </w:r>
    </w:p>
    <w:p>
      <w:r>
        <w:rPr>
          <w:sz w:val="20"/>
        </w:rPr>
        <w:t>TM1200 : 100 jusqu'à 400G, 12 ports client 100G</w:t>
      </w:r>
    </w:p>
    <w:p>
      <w:r>
        <w:rPr>
          <w:sz w:val="20"/>
        </w:rPr>
        <w:t>RCP : Routing Control Processor, contrôleur principal châssis (gestion système).</w:t>
      </w:r>
    </w:p>
    <w:p>
      <w:r>
        <w:rPr>
          <w:sz w:val="20"/>
        </w:rPr>
        <w:t>OTU2 : Optical Transport Unit niveau 2 (1G).</w:t>
      </w:r>
    </w:p>
    <w:p>
      <w:r>
        <w:rPr>
          <w:sz w:val="20"/>
        </w:rPr>
        <w:t>OTU4 : Optical Transport Unit niveau 4 (10G).</w:t>
      </w:r>
    </w:p>
    <w:p>
      <w:r>
        <w:rPr>
          <w:sz w:val="20"/>
        </w:rPr>
        <w:t>OTUA : Optical Transport Unit Adaptive (50G à 600G.</w:t>
      </w:r>
    </w:p>
    <w:p>
      <w:r>
        <w:rPr>
          <w:sz w:val="20"/>
        </w:rPr>
        <w:t>GFEC : Generic Forward Error Correction.</w:t>
      </w:r>
    </w:p>
    <w:p>
      <w:r>
        <w:rPr>
          <w:sz w:val="20"/>
        </w:rPr>
        <w:t>EFEC : Enhanced Forward Error Correction.</w:t>
      </w:r>
    </w:p>
    <w:p>
      <w:r>
        <w:rPr>
          <w:sz w:val="20"/>
        </w:rPr>
        <w:t>SNCP : Sub-Network Connection Protection.</w:t>
      </w:r>
    </w:p>
    <w:p>
      <w:r>
        <w:rPr>
          <w:sz w:val="20"/>
        </w:rPr>
        <w:t>IS : In-Service,  état opérationnel d'une carte.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