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MOP — Supervision OTN/OOB : déconnexion et perte de lien</w:t>
      </w:r>
    </w:p>
    <w:p>
      <w:pPr>
        <w:jc w:val="center"/>
      </w:pPr>
      <w:r>
        <w:rPr>
          <w:sz w:val="22"/>
        </w:rPr>
        <w:t>OPSSD-03.03.M0.20-P-V1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MÉTHODE D'OPÉRATION ET DE PROCÉDURE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Référence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OPSSD-03.03.M0.20-P-V1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Titre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MOP — Supervision OTN/OOB : déconnexion et perte de lien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MOP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Confidentialité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Interne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Propriétaire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Service Technique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Vérificateur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Approbateur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Date d'entrée en vigueur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À compléter (DD/MM/YYYY)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Date de révision planifiée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À compléter (DD/MM/YYYY)</w:t>
            </w:r>
          </w:p>
        </w:tc>
      </w:tr>
    </w:tbl>
    <w:p/>
    <w:p>
      <w:r>
        <w:rPr>
          <w:b/>
          <w:color w:val="1F3864"/>
          <w:sz w:val="20"/>
        </w:rPr>
        <w:t>HISTORIQUE DES RÉVISIONS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Préparé par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Vérifié par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Approuvé par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À compléter (DD/MM/YYYY)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Erwin MOMBILI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p>
      <w:pPr>
        <w:shd w:val="clear" w:color="auto" w:fill="BDD7EE"/>
      </w:pPr>
      <w:r>
        <w:rPr>
          <w:b/>
          <w:sz w:val="18"/>
        </w:rPr>
        <w:t>RÉSUMÉ</w:t>
      </w:r>
    </w:p>
    <w:p>
      <w:r>
        <w:rPr>
          <w:sz w:val="20"/>
        </w:rPr>
        <w:t>Procédure d'intervention pour incidents de supervision (Lightsoft/OOB) affectant la visibilité des équipements OTN.</w:t>
      </w:r>
    </w:p>
    <w:p/>
    <w:p>
      <w:pPr>
        <w:shd w:val="clear" w:color="auto" w:fill="BDD7EE"/>
      </w:pPr>
      <w:r>
        <w:rPr>
          <w:b/>
          <w:sz w:val="18"/>
        </w:rPr>
        <w:t>ÉQUIPEMENTS COUVERTS</w:t>
      </w:r>
    </w:p>
    <w:p>
      <w:r>
        <w:rPr>
          <w:sz w:val="18"/>
        </w:rPr>
        <w:t>Firewall : cluster Fortigate 100F (TH2-FW-01, TH3-FW-01)</w:t>
      </w:r>
    </w:p>
    <w:p>
      <w:r>
        <w:rPr>
          <w:sz w:val="18"/>
        </w:rPr>
        <w:t>Switchs OOB : Cisco C9200L-48T-4X (TH2-SW-01/02, TH3-SW-01/02)</w:t>
      </w:r>
    </w:p>
    <w:p>
      <w:r>
        <w:rPr>
          <w:sz w:val="18"/>
        </w:rPr>
        <w:t>Serveur console : Opengear CM7000 (TH2-CON-01, TH3-CON-01)</w:t>
      </w:r>
    </w:p>
    <w:p>
      <w:r>
        <w:rPr>
          <w:sz w:val="18"/>
        </w:rPr>
        <w:t>Serveur Radius : Radiator Mini Pack (2 serveurs licenciés)</w:t>
      </w:r>
    </w:p>
    <w:p>
      <w:r>
        <w:rPr>
          <w:sz w:val="18"/>
        </w:rPr>
        <w:t>Vizee : dash-4uvocd.vizee.io (supervision centralisée)</w:t>
      </w:r>
    </w:p>
    <w:p/>
    <w:p>
      <w:pPr>
        <w:shd w:val="clear" w:color="auto" w:fill="BDD7EE"/>
      </w:pPr>
      <w:r>
        <w:rPr>
          <w:b/>
          <w:sz w:val="18"/>
        </w:rPr>
        <w:t>CONTACTS D'ESCALADE</w:t>
      </w:r>
    </w:p>
    <w:p>
      <w:r>
        <w:rPr>
          <w:sz w:val="18"/>
        </w:rPr>
        <w:t>Lugos astreinte technique : 07 80 90 10 70</w:t>
      </w:r>
    </w:p>
    <w:p>
      <w:r>
        <w:rPr>
          <w:sz w:val="18"/>
        </w:rPr>
        <w:t>Lugos astreinte manager : 07 80 90 10 50</w:t>
      </w:r>
    </w:p>
    <w:p>
      <w:r>
        <w:rPr>
          <w:sz w:val="18"/>
        </w:rPr>
        <w:t>Portail tickets : lugos.atlassian.net (login otn.noc — voir runbook contacts LUGOS)</w:t>
      </w:r>
    </w:p>
    <w:p>
      <w:r>
        <w:rPr>
          <w:sz w:val="18"/>
        </w:rPr>
        <w:t>LightSoft NOC : OTN.NOC@fr.telehouse.net</w:t>
      </w:r>
    </w:p>
    <w:p>
      <w:r>
        <w:br w:type="page"/>
      </w:r>
    </w:p>
    <w:p>
      <w:pPr>
        <w:pStyle w:val="Heading1"/>
      </w:pPr>
      <w:r>
        <w:rPr>
          <w:color w:val="1F3864"/>
        </w:rPr>
        <w:t>Section 1 — Objet (quoi / pourquoi)</w:t>
      </w:r>
    </w:p>
    <w:p>
      <w:r>
        <w:rPr>
          <w:sz w:val="20"/>
        </w:rPr>
        <w:t>Symptômes couverts : Alarme MAJOR 'No OSPF hello packets received from neighbor' sur noeuds VHB — auto-cleared en &lt;30s; Alerte Vizee: Restart/bascule du firewall OOB (TH2-FW-01); Cogent prend le relai automatiquement; Coupure backbone Cogent.</w:t>
      </w:r>
    </w:p>
    <w:p/>
    <w:p>
      <w:pPr>
        <w:pStyle w:val="Heading1"/>
      </w:pPr>
      <w:r>
        <w:rPr>
          <w:color w:val="1F3864"/>
        </w:rPr>
        <w:t>Section 2 — Rôles et responsabilités (qui)</w:t>
      </w:r>
    </w:p>
    <w:p>
      <w:r>
        <w:rPr>
          <w:sz w:val="20"/>
        </w:rPr>
        <w:t>Responsable : NOC / Ingénieur transmission.</w:t>
      </w:r>
    </w:p>
    <w:p>
      <w:r>
        <w:rPr>
          <w:sz w:val="20"/>
        </w:rPr>
        <w:t>Criticitées : MINEUR, MINEUR→MAJEUR, CRITIQUE, MAJEUR.</w:t>
      </w:r>
    </w:p>
    <w:p>
      <w:r>
        <w:rPr>
          <w:sz w:val="20"/>
        </w:rPr>
        <w:t>Escalade N+1 si TTR &gt; 60 min ou impact service client.</w:t>
      </w:r>
    </w:p>
    <w:p/>
    <w:p>
      <w:pPr>
        <w:pStyle w:val="Heading1"/>
      </w:pPr>
      <w:r>
        <w:rPr>
          <w:color w:val="1F3864"/>
        </w:rPr>
        <w:t>Section 3 — Description du processus (comment)</w:t>
      </w:r>
    </w:p>
    <w:p>
      <w:r>
        <w:rPr>
          <w:b/>
        </w:rPr>
        <w:t xml:space="preserve">Contexte terrain : </w:t>
      </w:r>
      <w:r>
        <w:rPr>
          <w:sz w:val="20"/>
        </w:rPr>
        <w:t>Contexte terrain (REX 2022-2026, 14 incidents documentés) : incidents supervision majoritairement liés aux pertes de lien OOB (Cogent, switch), bascules Firewall Fortigate et alarmes OSPF auto-cleared sur réseau GCC Ribbon. TTR moyen : 15–45 min ; alarmes OSPF typiquement cleared &lt; 30s (protection switch PHO corrélé).</w:t>
      </w:r>
    </w:p>
    <w:p>
      <w:pPr>
        <w:pStyle w:val="Heading2"/>
      </w:pPr>
      <w:r>
        <w:t>3.1 — Phases d'intervention</w:t>
      </w:r>
    </w:p>
    <w:p>
      <w:pPr>
        <w:pStyle w:val="Heading3"/>
      </w:pPr>
      <w:r>
        <w:t>3.1.1 Phase 1 — Qualification initiale</w:t>
      </w:r>
    </w:p>
    <w:p>
      <w:pPr>
        <w:pStyle w:val="ListNumber"/>
      </w:pPr>
      <w:r>
        <w:rPr>
          <w:sz w:val="20"/>
        </w:rPr>
        <w:t>Acquitter alarmes Lightsoft/Vizee.</w:t>
      </w:r>
    </w:p>
    <w:p>
      <w:pPr>
        <w:pStyle w:val="ListNumber"/>
      </w:pPr>
      <w:r>
        <w:rPr>
          <w:sz w:val="20"/>
        </w:rPr>
        <w:t>Sur CLI équipement : show logged alarms 0 | grep &lt;date&gt; (nœud root@&lt;NE&gt;)</w:t>
      </w:r>
    </w:p>
    <w:p>
      <w:pPr>
        <w:pStyle w:val="ListNumber"/>
      </w:pPr>
      <w:r>
        <w:rPr>
          <w:sz w:val="20"/>
        </w:rPr>
        <w:t>Vérifier état OOB : ping TH2/TH3-SW-01 depuis LightSoft.</w:t>
      </w:r>
    </w:p>
    <w:p>
      <w:pPr>
        <w:pStyle w:val="ListNumber"/>
      </w:pPr>
      <w:r>
        <w:rPr>
          <w:sz w:val="20"/>
        </w:rPr>
        <w:t>Consulter Vizee (dash-4uvocd.vizee.io) — comparer état NE sur les deux sites.</w:t>
      </w:r>
    </w:p>
    <w:p>
      <w:pPr>
        <w:pStyle w:val="Heading3"/>
      </w:pPr>
      <w:r>
        <w:t>3.1.2 Phase 2 — Diagnostic et actions</w:t>
      </w:r>
    </w:p>
    <w:p>
      <w:pPr>
        <w:pStyle w:val="ListNumber"/>
      </w:pPr>
      <w:r>
        <w:rPr>
          <w:sz w:val="20"/>
        </w:rPr>
        <w:t>Appliquer SOP-01 (diagnostic initial) → SOP-03 si perte STMS.</w:t>
      </w:r>
    </w:p>
    <w:p>
      <w:pPr>
        <w:pStyle w:val="ListNumber"/>
      </w:pPr>
      <w:r>
        <w:rPr>
          <w:sz w:val="20"/>
        </w:rPr>
        <w:t>Vérifier firewall cluster TH2-FW-01 / TH3-FW-01 (bascule ?)</w:t>
      </w:r>
    </w:p>
    <w:p>
      <w:pPr>
        <w:pStyle w:val="ListNumber"/>
      </w:pPr>
      <w:r>
        <w:rPr>
          <w:sz w:val="20"/>
        </w:rPr>
        <w:t>Vérifier switch OOB actif (TH2-SW-01/02 via console Opengear).</w:t>
      </w:r>
    </w:p>
    <w:p>
      <w:pPr>
        <w:pStyle w:val="ListNumber"/>
      </w:pPr>
      <w:r>
        <w:rPr>
          <w:sz w:val="20"/>
        </w:rPr>
        <w:t>Si Radius bloqué (A1) : contacter Lugos astreinte — réinitialisation compte.</w:t>
      </w:r>
    </w:p>
    <w:p>
      <w:pPr>
        <w:pStyle w:val="Heading3"/>
      </w:pPr>
      <w:r>
        <w:t>3.1.3 Phase 3 — Résolution et restoration</w:t>
      </w:r>
    </w:p>
    <w:p>
      <w:pPr>
        <w:pStyle w:val="ListNumber"/>
      </w:pPr>
      <w:r>
        <w:rPr>
          <w:sz w:val="20"/>
        </w:rPr>
        <w:t>Appliquer la SOP identifiée en Phase 2.</w:t>
      </w:r>
    </w:p>
    <w:p>
      <w:pPr>
        <w:pStyle w:val="ListNumber"/>
      </w:pPr>
      <w:r>
        <w:rPr>
          <w:sz w:val="20"/>
        </w:rPr>
        <w:t>Si échange matériel : contacter astreinte + ouvrir ticket RMA Lugos.</w:t>
      </w:r>
    </w:p>
    <w:p>
      <w:pPr>
        <w:pStyle w:val="ListNumber"/>
      </w:pPr>
      <w:r>
        <w:rPr>
          <w:sz w:val="20"/>
        </w:rPr>
        <w:t>Documenter actions dans NocoDB (TTR, cause, actions).</w:t>
      </w:r>
    </w:p>
    <w:p>
      <w:pPr>
        <w:pStyle w:val="ListNumber"/>
      </w:pPr>
      <w:r>
        <w:rPr>
          <w:sz w:val="20"/>
        </w:rPr>
        <w:t>Vérifier reprise supervision Lightsoft/Vizee.</w:t>
      </w:r>
    </w:p>
    <w:p>
      <w:pPr>
        <w:pStyle w:val="Heading3"/>
      </w:pPr>
      <w:r>
        <w:t>3.1.4 Phase 4 — Clôture et retour à la normale</w:t>
      </w:r>
    </w:p>
    <w:p>
      <w:pPr>
        <w:pStyle w:val="ListNumber"/>
      </w:pPr>
      <w:r>
        <w:rPr>
          <w:sz w:val="20"/>
        </w:rPr>
        <w:t>Confirmer retour à la normale sur Lightsoft et Vizee.</w:t>
      </w:r>
    </w:p>
    <w:p>
      <w:pPr>
        <w:pStyle w:val="ListNumber"/>
      </w:pPr>
      <w:r>
        <w:rPr>
          <w:sz w:val="20"/>
        </w:rPr>
        <w:t>Clôturer ticket NocoDB (TTR réel, cause racine, actions correctives).</w:t>
      </w:r>
    </w:p>
    <w:p>
      <w:pPr>
        <w:pStyle w:val="ListNumber"/>
      </w:pPr>
      <w:r>
        <w:rPr>
          <w:sz w:val="20"/>
        </w:rPr>
        <w:t>Si incident récurrent : escalader vers ingénierie pour analyse RCA.</w:t>
      </w:r>
    </w:p>
    <w:p>
      <w:pPr>
        <w:pStyle w:val="ListNumber"/>
      </w:pPr>
      <w:r>
        <w:rPr>
          <w:sz w:val="20"/>
        </w:rPr>
        <w:t>Mettre à jour la présente MOP si nouveau pattern identifié.</w:t>
      </w:r>
    </w:p>
    <w:p/>
    <w:p>
      <w:pPr>
        <w:pStyle w:val="Heading1"/>
      </w:pPr>
      <w:r>
        <w:rPr>
          <w:color w:val="1F3864"/>
        </w:rPr>
        <w:t>Section 4 — Glossaire</w:t>
      </w:r>
    </w:p>
    <w:p>
      <w:r>
        <w:rPr>
          <w:sz w:val="20"/>
        </w:rPr>
        <w:t>OOB : Out Of Band — accès externe NE disponible même si réseau interne indisponible.</w:t>
      </w:r>
    </w:p>
    <w:p>
      <w:r>
        <w:rPr>
          <w:sz w:val="20"/>
        </w:rPr>
        <w:t>NE : Network Element — équipement optique Ribbon Apollo.</w:t>
      </w:r>
    </w:p>
    <w:p>
      <w:r>
        <w:rPr>
          <w:sz w:val="20"/>
        </w:rPr>
        <w:t>LightSoft/EMS : serveurs Ribbon permettant supervision et exploitation des NE.</w:t>
      </w:r>
    </w:p>
    <w:p>
      <w:r>
        <w:rPr>
          <w:sz w:val="20"/>
        </w:rPr>
        <w:t>Vizee : solution SaaS supervision et centralisation des logs OOB.</w:t>
      </w:r>
    </w:p>
    <w:p>
      <w:r>
        <w:rPr>
          <w:sz w:val="20"/>
        </w:rPr>
        <w:t>OSPF : protocole de routage interne réseau de gestion Ribbon (canal GCC).</w:t>
      </w:r>
    </w:p>
    <w:p>
      <w:r>
        <w:rPr>
          <w:sz w:val="20"/>
        </w:rPr>
        <w:t>GCC : Gateway Control Channel — canal de gestion interne OTN.</w:t>
      </w:r>
    </w:p>
    <w:p>
      <w:r>
        <w:rPr>
          <w:sz w:val="20"/>
        </w:rPr>
        <w:t>Radius : protocole d'authentification réseau (accès LightSoft/Vizee).</w:t>
      </w:r>
    </w:p>
    <w:p>
      <w:r>
        <w:rPr>
          <w:sz w:val="20"/>
        </w:rPr>
        <w:t>STMS : Synchronous Transport Management System.</w:t>
      </w:r>
    </w:p>
    <w:p>
      <w:r>
        <w:rPr>
          <w:sz w:val="20"/>
        </w:rPr>
        <w:t>SFP : Small Form-factor Pluggable — transceiver optique.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