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MOP — Cartes OTN : défaillances service, management et infrastructure</w:t>
      </w:r>
    </w:p>
    <w:p>
      <w:pPr>
        <w:jc w:val="center"/>
      </w:pPr>
      <w:r>
        <w:rPr>
          <w:sz w:val="22"/>
        </w:rPr>
        <w:t>OPSSD-03.03.M0.22-P-V1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OPSSD-03.03.M0.22-P-V1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 — Cartes OTN : défaillances service, management et infrastructure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pannes de cartes (service, management, infrastructure) sur châssis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LB (Low-BW) : THx-OP9608-LB-01 — U0/U1 : AoC10B (16 clients &lt;10G → 2 OTU2)</w:t>
      </w:r>
    </w:p>
    <w:p>
      <w:r>
        <w:rPr>
          <w:sz w:val="18"/>
        </w:rPr>
        <w:t>HB (High-BW) : THx-OP9608-HB-02 — U0 : TM100_2EN / U2 : TM1200</w:t>
      </w:r>
    </w:p>
    <w:p>
      <w:r>
        <w:rPr>
          <w:sz w:val="18"/>
        </w:rPr>
        <w:t>VHB (Very-High-BW) : THx-OP9608-VHB-03/08 — U0 : TM100_2EN / U2 : TM1200</w:t>
      </w:r>
    </w:p>
    <w:p>
      <w:r>
        <w:rPr>
          <w:sz w:val="18"/>
        </w:rPr>
        <w:t>Contrôleur : RCP08_O (Dual 1+1, SD card 8GB — backup config + DB alarmes)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Lugos astreinte technique : 07 80 90 10 70</w:t>
      </w:r>
    </w:p>
    <w:p>
      <w:r>
        <w:rPr>
          <w:sz w:val="18"/>
        </w:rPr>
        <w:t>Support Ribbon (RMA/escalade) : Ribbon-France.Support@rbbn.com</w:t>
      </w:r>
    </w:p>
    <w:p>
      <w:r>
        <w:rPr>
          <w:sz w:val="18"/>
        </w:rPr>
        <w:t>Portail tickets Lugos : lugos.atlassian.net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FAN + RCP inaccessible; Alarme alimentation chassis; Alarme rectifier — 1 voie restante; Alarme température chassis.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NOC / Ingénieur transmission.</w:t>
      </w:r>
    </w:p>
    <w:p>
      <w:r>
        <w:rPr>
          <w:sz w:val="20"/>
        </w:rPr>
        <w:t>Criticitées : CRITIQUE, MAJEUR.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>Contexte terrain (REX 2021-2025, 11 incidents documentés) : pannes cartes majoritairement sur cartes service (AoC10B/TM100_2EN) et cartes management (RCP). Châssis VHB les plus sollicités (flux ligne 600G). TTR moyen : 30–90 min ; échange matériel (RMA) si carte non récupérable.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Identifier le type de châssis affecté : LB / HB / VHB (depuis hostname).</w:t>
      </w:r>
    </w:p>
    <w:p>
      <w:pPr>
        <w:pStyle w:val="ListNumber"/>
      </w:pPr>
      <w:r>
        <w:rPr>
          <w:sz w:val="20"/>
        </w:rPr>
        <w:t>Localiser le slot défaillant via Lightsoft (alarme carte IS/FAIL).</w:t>
      </w:r>
    </w:p>
    <w:p>
      <w:pPr>
        <w:pStyle w:val="ListNumber"/>
      </w:pPr>
      <w:r>
        <w:rPr>
          <w:sz w:val="20"/>
        </w:rPr>
        <w:t>Vérifier LED carte : IS (vert allumé) = opérationnel ; FAIL (rouge) = défaut.</w:t>
      </w:r>
    </w:p>
    <w:p>
      <w:pPr>
        <w:pStyle w:val="ListNumber"/>
      </w:pPr>
      <w:r>
        <w:rPr>
          <w:sz w:val="20"/>
        </w:rPr>
        <w:t>Consulter log alarmes : show logged alarms 0 | grep &lt;date&gt; sur CLI.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SOP carte adaptée au type (service / management / infra).</w:t>
      </w:r>
    </w:p>
    <w:p>
      <w:pPr>
        <w:pStyle w:val="ListNumber"/>
      </w:pPr>
      <w:r>
        <w:rPr>
          <w:sz w:val="20"/>
        </w:rPr>
        <w:t>Vérifier backup SD card RCP08 (contient config NE + DB alarmes).</w:t>
      </w:r>
    </w:p>
    <w:p>
      <w:pPr>
        <w:pStyle w:val="ListNumber"/>
      </w:pPr>
      <w:r>
        <w:rPr>
          <w:sz w:val="20"/>
        </w:rPr>
        <w:t>Si carte IS/FAIL : hot-swap possible sur la plupart des cartes service.</w:t>
      </w:r>
    </w:p>
    <w:p>
      <w:pPr>
        <w:pStyle w:val="ListNumber"/>
      </w:pPr>
      <w:r>
        <w:rPr>
          <w:sz w:val="20"/>
        </w:rPr>
        <w:t>Si RCP défaillant : basculer sur RCP-B (redondance 1+1).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astreinte + ouvrir ticket RMA Lugos.</w:t>
      </w:r>
    </w:p>
    <w:p>
      <w:pPr>
        <w:pStyle w:val="ListNumber"/>
      </w:pPr>
      <w:r>
        <w:rPr>
          <w:sz w:val="20"/>
        </w:rPr>
        <w:t>Documenter actions dans NocoDB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NocoDB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ingénierie pour analyse RCA.</w:t>
      </w:r>
    </w:p>
    <w:p>
      <w:pPr>
        <w:pStyle w:val="ListNumber"/>
      </w:pPr>
      <w:r>
        <w:rPr>
          <w:sz w:val="20"/>
        </w:rPr>
        <w:t>Mettre à jour la présente MOP si nouveau pattern identifié.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AoC10B : carte service 10G ADM, 16 clients vers 2 ports ligne OTU2, support GbE/STM-1/FC.</w:t>
      </w:r>
    </w:p>
    <w:p>
      <w:r>
        <w:rPr>
          <w:sz w:val="20"/>
        </w:rPr>
        <w:t>TM100_2EN : transponder 100G, 2 ports ligne QSFP28, agrège flux 10G/40G.</w:t>
      </w:r>
    </w:p>
    <w:p>
      <w:r>
        <w:rPr>
          <w:sz w:val="20"/>
        </w:rPr>
        <w:t>TM1200 : muxponder flexible jusqu'à 600G, 12 ports client 100G, ports ligne OTUA adaptatifs.</w:t>
      </w:r>
    </w:p>
    <w:p>
      <w:r>
        <w:rPr>
          <w:sz w:val="20"/>
        </w:rPr>
        <w:t>RCP : Routing Control Processor — contrôleur principal châssis (gestion système).</w:t>
      </w:r>
    </w:p>
    <w:p>
      <w:r>
        <w:rPr>
          <w:sz w:val="20"/>
        </w:rPr>
        <w:t>OTU2 : Optical Transport Unit niveau 2 (10G).</w:t>
      </w:r>
    </w:p>
    <w:p>
      <w:r>
        <w:rPr>
          <w:sz w:val="20"/>
        </w:rPr>
        <w:t>OTU4 : Optical Transport Unit niveau 4 (100G).</w:t>
      </w:r>
    </w:p>
    <w:p>
      <w:r>
        <w:rPr>
          <w:sz w:val="20"/>
        </w:rPr>
        <w:t>OTUA : Optical Transport Unit Adaptive — débit configurable 50G à 600G.</w:t>
      </w:r>
    </w:p>
    <w:p>
      <w:r>
        <w:rPr>
          <w:sz w:val="20"/>
        </w:rPr>
        <w:t>GFEC : Generic Forward Error Correction.</w:t>
      </w:r>
    </w:p>
    <w:p>
      <w:r>
        <w:rPr>
          <w:sz w:val="20"/>
        </w:rPr>
        <w:t>EFEC : Enhanced Forward Error Correction.</w:t>
      </w:r>
    </w:p>
    <w:p>
      <w:r>
        <w:rPr>
          <w:sz w:val="20"/>
        </w:rPr>
        <w:t>SNCP : Sub-Network Connection Protection.</w:t>
      </w:r>
    </w:p>
    <w:p>
      <w:r>
        <w:rPr>
          <w:sz w:val="20"/>
        </w:rPr>
        <w:t>IS : In-Service — état opérationnel d'une carte.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