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MOP — Ports NNI/UNI OTN : pertes de signal et dégradations de service</w:t>
      </w:r>
    </w:p>
    <w:p>
      <w:pPr>
        <w:jc w:val="center"/>
      </w:pPr>
      <w:r>
        <w:rPr>
          <w:sz w:val="22"/>
        </w:rPr>
        <w:t>OPSSD-03.03.M0.24-P-V1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MÉTHODE D'OPÉRATION ET DE PROCÉDURE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Référence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OPSSD-03.03.M0.24-P-V1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Titre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MOP — Ports NNI/UNI OTN : pertes de signal et dégradations de service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MOP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Confidentialité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Interne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Propriétaire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Service Technique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Vérificateur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Approbateur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Date d'entrée en vigueur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À compléter (DD/MM/YYYY)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Date de révision planifiée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À compléter (DD/MM/YYYY)</w:t>
            </w:r>
          </w:p>
        </w:tc>
      </w:tr>
    </w:tbl>
    <w:p/>
    <w:p>
      <w:r>
        <w:rPr>
          <w:b/>
          <w:color w:val="1F3864"/>
          <w:sz w:val="20"/>
        </w:rPr>
        <w:t>HISTORIQUE DES RÉVISIONS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Rev.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Préparé par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Vérifié par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Approuvé par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À compléter (DD/MM/YYYY)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Erwin MOMBILI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</w:tbl>
    <w:p/>
    <w:p>
      <w:pPr>
        <w:shd w:val="clear" w:color="auto" w:fill="BDD7EE"/>
      </w:pPr>
      <w:r>
        <w:rPr>
          <w:b/>
          <w:sz w:val="18"/>
        </w:rPr>
        <w:t>RÉSUMÉ</w:t>
      </w:r>
    </w:p>
    <w:p>
      <w:r>
        <w:rPr>
          <w:sz w:val="20"/>
        </w:rPr>
        <w:t>Procédure d'intervention pour incidents sur ports NNI et UNI (pertes LOS, dégradations BER, alarmes ODU).</w:t>
      </w:r>
    </w:p>
    <w:p/>
    <w:p>
      <w:pPr>
        <w:shd w:val="clear" w:color="auto" w:fill="BDD7EE"/>
      </w:pPr>
      <w:r>
        <w:rPr>
          <w:b/>
          <w:sz w:val="18"/>
        </w:rPr>
        <w:t>ÉQUIPEMENTS COUVERTS</w:t>
      </w:r>
    </w:p>
    <w:p>
      <w:r>
        <w:rPr>
          <w:sz w:val="18"/>
        </w:rPr>
        <w:t>Ports UNI &lt;10G : châssis LB (AoC10B) — TH2/TH3-OP9608-LB-01</w:t>
      </w:r>
    </w:p>
    <w:p>
      <w:r>
        <w:rPr>
          <w:sz w:val="18"/>
        </w:rPr>
        <w:t>Ports UNI/NNI 100G : châssis HB (TM100_2EN) — TH2/TH3-OP9608-HB-02</w:t>
      </w:r>
    </w:p>
    <w:p>
      <w:r>
        <w:rPr>
          <w:sz w:val="18"/>
        </w:rPr>
        <w:t>Ports NNI ligne 600G : châssis VHB (TM1200) — TH2/TH3-OP9608-VHB-03/08</w:t>
      </w:r>
    </w:p>
    <w:p>
      <w:r>
        <w:rPr>
          <w:sz w:val="18"/>
        </w:rPr>
        <w:t>LED TM100_2EN port QSFP28 :</w:t>
      </w:r>
    </w:p>
    <w:p>
      <w:pPr>
        <w:pStyle w:val="ListBullet"/>
      </w:pPr>
      <w:r>
        <w:rPr>
          <w:sz w:val="18"/>
        </w:rPr>
        <w:t>F/L clignotant = LOS détecté</w:t>
      </w:r>
    </w:p>
    <w:p>
      <w:pPr>
        <w:pStyle w:val="ListBullet"/>
      </w:pPr>
      <w:r>
        <w:rPr>
          <w:sz w:val="18"/>
        </w:rPr>
        <w:t>F/L fixe = défaut BIT (transceiver CFP/QSFP28)</w:t>
      </w:r>
    </w:p>
    <w:p/>
    <w:p>
      <w:pPr>
        <w:shd w:val="clear" w:color="auto" w:fill="BDD7EE"/>
      </w:pPr>
      <w:r>
        <w:rPr>
          <w:b/>
          <w:sz w:val="18"/>
        </w:rPr>
        <w:t>CONTACTS D'ESCALADE</w:t>
      </w:r>
    </w:p>
    <w:p>
      <w:r>
        <w:rPr>
          <w:sz w:val="18"/>
        </w:rPr>
        <w:t>Lugos astreinte technique : 07 80 90 10 70</w:t>
      </w:r>
    </w:p>
    <w:p>
      <w:r>
        <w:rPr>
          <w:sz w:val="18"/>
        </w:rPr>
        <w:t>Portail tickets : lugos.atlassian.net</w:t>
      </w:r>
    </w:p>
    <w:p>
      <w:r>
        <w:rPr>
          <w:sz w:val="18"/>
        </w:rPr>
        <w:t>Support Ribbon (escalade ligne) : Ribbon-France.Support@rbbn.com</w:t>
      </w:r>
    </w:p>
    <w:p>
      <w:r>
        <w:br w:type="page"/>
      </w:r>
    </w:p>
    <w:p>
      <w:pPr>
        <w:pStyle w:val="Heading1"/>
      </w:pPr>
      <w:r>
        <w:rPr>
          <w:color w:val="1F3864"/>
        </w:rPr>
        <w:t>Section 1 — Objet (quoi / pourquoi)</w:t>
      </w:r>
    </w:p>
    <w:p>
      <w:r>
        <w:rPr>
          <w:sz w:val="20"/>
        </w:rPr>
        <w:t>Symptômes couverts : Alarme sur port UNI; Alarmes NNI 0 HB — tous ports HB impactés; Alarmes NNI 0/1 VHB + cascade NNI 12/13; Alarmes NNI 1 HB — tous ports HB impactés.</w:t>
      </w:r>
    </w:p>
    <w:p/>
    <w:p>
      <w:pPr>
        <w:pStyle w:val="Heading1"/>
      </w:pPr>
      <w:r>
        <w:rPr>
          <w:color w:val="1F3864"/>
        </w:rPr>
        <w:t>Section 2 — Rôles et responsabilités (qui)</w:t>
      </w:r>
    </w:p>
    <w:p>
      <w:r>
        <w:rPr>
          <w:sz w:val="20"/>
        </w:rPr>
        <w:t>Responsable : NOC / Ingénieur transmission.</w:t>
      </w:r>
    </w:p>
    <w:p>
      <w:r>
        <w:rPr>
          <w:sz w:val="20"/>
        </w:rPr>
        <w:t>Criticitées : MAJEUR→CRITIQUE, MINEUR, CRITIQUE, MAJEUR.</w:t>
      </w:r>
    </w:p>
    <w:p>
      <w:r>
        <w:rPr>
          <w:sz w:val="20"/>
        </w:rPr>
        <w:t>Escalade N+1 si TTR &gt; 60 min ou impact service client.</w:t>
      </w:r>
    </w:p>
    <w:p/>
    <w:p>
      <w:pPr>
        <w:pStyle w:val="Heading1"/>
      </w:pPr>
      <w:r>
        <w:rPr>
          <w:color w:val="1F3864"/>
        </w:rPr>
        <w:t>Section 3 — Description du processus (comment)</w:t>
      </w:r>
    </w:p>
    <w:p>
      <w:r>
        <w:rPr>
          <w:b/>
        </w:rPr>
        <w:t xml:space="preserve">Contexte terrain : </w:t>
      </w:r>
      <w:r>
        <w:rPr>
          <w:sz w:val="20"/>
        </w:rPr>
        <w:t>Contexte terrain (REX 2022-2025, 12 incidents documentés dont 2 incidents client confirmés) : pertes LOS sur ports UNI majoritairement liées à des défauts SFP/fibre côté client ; incidents BER/FCS sur liaisons longue distance hors périmètre TH. TTR moyen : 15–45 min port UNI ; escalade client obligatoire si LOS &gt; 30 min.</w:t>
      </w:r>
    </w:p>
    <w:p>
      <w:pPr>
        <w:pStyle w:val="Heading2"/>
      </w:pPr>
      <w:r>
        <w:t>3.1 — Phases d'intervention</w:t>
      </w:r>
    </w:p>
    <w:p>
      <w:pPr>
        <w:pStyle w:val="Heading3"/>
      </w:pPr>
      <w:r>
        <w:t>3.1.1 Phase 1 — Qualification initiale</w:t>
      </w:r>
    </w:p>
    <w:p>
      <w:pPr>
        <w:pStyle w:val="ListNumber"/>
      </w:pPr>
      <w:r>
        <w:rPr>
          <w:sz w:val="20"/>
        </w:rPr>
        <w:t>Identifier le type de port affecté : UNI (LB/HB) ou NNI (VHB).</w:t>
      </w:r>
    </w:p>
    <w:p>
      <w:pPr>
        <w:pStyle w:val="ListNumber"/>
      </w:pPr>
      <w:r>
        <w:rPr>
          <w:sz w:val="20"/>
        </w:rPr>
        <w:t>Vérifier LED port QSFP28 (TM100_2EN) : F/L clignotant = LOS, fixe = BIT fault.</w:t>
      </w:r>
    </w:p>
    <w:p>
      <w:pPr>
        <w:pStyle w:val="ListNumber"/>
      </w:pPr>
      <w:r>
        <w:rPr>
          <w:sz w:val="20"/>
        </w:rPr>
        <w:t>Contrôler compteurs PM : procédure OPSCNY-02-13 (disponible mop_kb).</w:t>
      </w:r>
    </w:p>
    <w:p>
      <w:pPr>
        <w:pStyle w:val="ListNumber"/>
      </w:pPr>
      <w:r>
        <w:rPr>
          <w:sz w:val="20"/>
        </w:rPr>
        <w:t>Acquitter alarmes LOS/BER sur Lightsoft et Vizee.</w:t>
      </w:r>
    </w:p>
    <w:p>
      <w:pPr>
        <w:pStyle w:val="Heading3"/>
      </w:pPr>
      <w:r>
        <w:t>3.1.2 Phase 2 — Diagnostic et actions</w:t>
      </w:r>
    </w:p>
    <w:p>
      <w:pPr>
        <w:pStyle w:val="ListNumber"/>
      </w:pPr>
      <w:r>
        <w:rPr>
          <w:sz w:val="20"/>
        </w:rPr>
        <w:t>Appliquer SOP-04 (LOS) → SOP-07 (BER/FCS) selon symptôme.</w:t>
      </w:r>
    </w:p>
    <w:p>
      <w:pPr>
        <w:pStyle w:val="ListNumber"/>
      </w:pPr>
      <w:r>
        <w:rPr>
          <w:sz w:val="20"/>
        </w:rPr>
        <w:t>Test Viavi à Viavi si disponible : procédure OPSCNY-02-14 (mop_kb).</w:t>
      </w:r>
    </w:p>
    <w:p>
      <w:pPr>
        <w:pStyle w:val="ListNumber"/>
      </w:pPr>
      <w:r>
        <w:rPr>
          <w:sz w:val="20"/>
        </w:rPr>
        <w:t>Vérifier intégrité fibre côté client (SFP, jarretière, patch cord).</w:t>
      </w:r>
    </w:p>
    <w:p>
      <w:pPr>
        <w:pStyle w:val="ListNumber"/>
      </w:pPr>
      <w:r>
        <w:rPr>
          <w:sz w:val="20"/>
        </w:rPr>
        <w:t>Si incident client confirmé : ouvrir ticket Lugos + notifier client (SOP-12).</w:t>
      </w:r>
    </w:p>
    <w:p>
      <w:pPr>
        <w:pStyle w:val="Heading3"/>
      </w:pPr>
      <w:r>
        <w:t>3.1.3 Phase 3 — Résolution et restoration</w:t>
      </w:r>
    </w:p>
    <w:p>
      <w:pPr>
        <w:pStyle w:val="ListNumber"/>
      </w:pPr>
      <w:r>
        <w:rPr>
          <w:sz w:val="20"/>
        </w:rPr>
        <w:t>Appliquer la SOP identifiée en Phase 2.</w:t>
      </w:r>
    </w:p>
    <w:p>
      <w:pPr>
        <w:pStyle w:val="ListNumber"/>
      </w:pPr>
      <w:r>
        <w:rPr>
          <w:sz w:val="20"/>
        </w:rPr>
        <w:t>Si échange matériel : contacter astreinte + ouvrir ticket RMA Lugos.</w:t>
      </w:r>
    </w:p>
    <w:p>
      <w:pPr>
        <w:pStyle w:val="ListNumber"/>
      </w:pPr>
      <w:r>
        <w:rPr>
          <w:sz w:val="20"/>
        </w:rPr>
        <w:t>Documenter actions dans NocoDB (TTR, cause, actions).</w:t>
      </w:r>
    </w:p>
    <w:p>
      <w:pPr>
        <w:pStyle w:val="ListNumber"/>
      </w:pPr>
      <w:r>
        <w:rPr>
          <w:sz w:val="20"/>
        </w:rPr>
        <w:t>Vérifier reprise supervision Lightsoft/Vizee.</w:t>
      </w:r>
    </w:p>
    <w:p>
      <w:pPr>
        <w:pStyle w:val="Heading3"/>
      </w:pPr>
      <w:r>
        <w:t>3.1.4 Phase 4 — Clôture et retour à la normale</w:t>
      </w:r>
    </w:p>
    <w:p>
      <w:pPr>
        <w:pStyle w:val="ListNumber"/>
      </w:pPr>
      <w:r>
        <w:rPr>
          <w:sz w:val="20"/>
        </w:rPr>
        <w:t>Confirmer retour à la normale sur Lightsoft et Vizee.</w:t>
      </w:r>
    </w:p>
    <w:p>
      <w:pPr>
        <w:pStyle w:val="ListNumber"/>
      </w:pPr>
      <w:r>
        <w:rPr>
          <w:sz w:val="20"/>
        </w:rPr>
        <w:t>Clôturer ticket NocoDB (TTR réel, cause racine, actions correctives).</w:t>
      </w:r>
    </w:p>
    <w:p>
      <w:pPr>
        <w:pStyle w:val="ListNumber"/>
      </w:pPr>
      <w:r>
        <w:rPr>
          <w:sz w:val="20"/>
        </w:rPr>
        <w:t>Si incident récurrent : escalader vers ingénierie pour analyse RCA.</w:t>
      </w:r>
    </w:p>
    <w:p>
      <w:pPr>
        <w:pStyle w:val="ListNumber"/>
      </w:pPr>
      <w:r>
        <w:rPr>
          <w:sz w:val="20"/>
        </w:rPr>
        <w:t>Mettre à jour la présente MOP si nouveau pattern identifié.</w:t>
      </w:r>
    </w:p>
    <w:p/>
    <w:p>
      <w:pPr>
        <w:pStyle w:val="Heading1"/>
      </w:pPr>
      <w:r>
        <w:rPr>
          <w:color w:val="1F3864"/>
        </w:rPr>
        <w:t>Section 4 — Glossaire</w:t>
      </w:r>
    </w:p>
    <w:p>
      <w:r>
        <w:rPr>
          <w:sz w:val="20"/>
        </w:rPr>
        <w:t>NNI : Network-to-Network Interface — interface réseau opérateur (ligne haute capacité).</w:t>
      </w:r>
    </w:p>
    <w:p>
      <w:r>
        <w:rPr>
          <w:sz w:val="20"/>
        </w:rPr>
        <w:t>UNI : User-to-Network Interface — interface port client.</w:t>
      </w:r>
    </w:p>
    <w:p>
      <w:r>
        <w:rPr>
          <w:sz w:val="20"/>
        </w:rPr>
        <w:t>LOS : Loss Of Signal — perte de signal détectée sur port.</w:t>
      </w:r>
    </w:p>
    <w:p>
      <w:r>
        <w:rPr>
          <w:sz w:val="20"/>
        </w:rPr>
        <w:t>BER : Bit Error Rate — taux d'erreurs binaires.</w:t>
      </w:r>
    </w:p>
    <w:p>
      <w:r>
        <w:rPr>
          <w:sz w:val="20"/>
        </w:rPr>
        <w:t>FCS : Frame Check Sequence — séquence de contrôle d'intégralité trame Ethernet.</w:t>
      </w:r>
    </w:p>
    <w:p>
      <w:r>
        <w:rPr>
          <w:sz w:val="20"/>
        </w:rPr>
        <w:t>PCS : Physical Coding Sublayer — couche codage physique (compteurs erreurs PCS).</w:t>
      </w:r>
    </w:p>
    <w:p>
      <w:r>
        <w:rPr>
          <w:sz w:val="20"/>
        </w:rPr>
        <w:t>OTU2/OTU4 : Optical Transport Unit niveau 2 (10G) / niveau 4 (100G).</w:t>
      </w:r>
    </w:p>
    <w:p>
      <w:r>
        <w:rPr>
          <w:sz w:val="20"/>
        </w:rPr>
        <w:t>SNCP : Sub-Network Connection Protection — protection de connexion sous-réseau.</w:t>
      </w:r>
    </w:p>
    <w:p>
      <w:r>
        <w:rPr>
          <w:sz w:val="20"/>
        </w:rPr>
        <w:t>QSFP28 : transceiver 4x25G (100G total) — utilisé sur TM100_2EN et TM1200.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