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F3864"/>
          <w:sz w:val="32"/>
        </w:rPr>
        <w:t>Perte de Supervision</w:t>
      </w:r>
    </w:p>
    <w:p>
      <w:pPr>
        <w:jc w:val="center"/>
      </w:pPr>
      <w:r>
        <w:rPr>
          <w:sz w:val="22"/>
        </w:rPr>
        <w:t>OPSSD-03.03.M0.20-P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9354"/>
            <w:gridSpan w:val="2"/>
            <w:shd w:val="clear" w:color="auto" w:fill="1F3864"/>
          </w:tcPr>
          <w:p>
            <w:pPr>
              <w:jc w:val="center"/>
            </w:pPr>
            <w:r>
              <w:rPr>
                <w:b/>
                <w:color w:val="FFFFFF"/>
                <w:sz w:val="24"/>
              </w:rPr>
              <w:t>MÉTHODE D'OPÉRATION ET DE PROCÉDURE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Référence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OPSSD-03.03.M0.20-P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Titre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Perte de Supervision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MOP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Confidentialité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Interne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Propriétaire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Technique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Vérificateur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Approbateur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d'entrée en vigueur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01/03/2026</w:t>
            </w:r>
          </w:p>
        </w:tc>
      </w:tr>
      <w:tr>
        <w:tc>
          <w:tcPr>
            <w:tcW w:type="dxa" w:w="2835"/>
            <w:shd w:val="clear" w:color="auto" w:fill="BDD7EE"/>
          </w:tcPr>
          <w:p>
            <w:r/>
            <w:r>
              <w:rPr>
                <w:b/>
                <w:sz w:val="18"/>
              </w:rPr>
              <w:t>Date de révision planifiée</w:t>
            </w:r>
          </w:p>
        </w:tc>
        <w:tc>
          <w:tcPr>
            <w:tcW w:type="dxa" w:w="6520"/>
          </w:tcPr>
          <w:p>
            <w:r/>
            <w:r>
              <w:rPr>
                <w:b w:val="0"/>
                <w:sz w:val="18"/>
              </w:rPr>
              <w:t>01/03/2028</w:t>
            </w:r>
          </w:p>
        </w:tc>
      </w:tr>
    </w:tbl>
    <w:p/>
    <w:p>
      <w:r>
        <w:rPr>
          <w:b/>
          <w:color w:val="1F3864"/>
          <w:sz w:val="20"/>
        </w:rPr>
        <w:t>HISTORIQUE DES RÉVISIONS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1"/>
        <w:gridCol w:w="1871"/>
        <w:gridCol w:w="1871"/>
        <w:gridCol w:w="1871"/>
        <w:gridCol w:w="1871"/>
      </w:tblGrid>
      <w:tr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Rev.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Date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Préparé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Vérifié par</w:t>
            </w:r>
          </w:p>
        </w:tc>
        <w:tc>
          <w:tcPr>
            <w:tcW w:type="dxa" w:w="1871"/>
            <w:shd w:val="clear" w:color="auto" w:fill="1F3864"/>
          </w:tcPr>
          <w:p>
            <w:r/>
            <w:r>
              <w:rPr>
                <w:b/>
                <w:color w:val="FFFFFF"/>
                <w:sz w:val="18"/>
              </w:rPr>
              <w:t>Approuvé par</w:t>
            </w:r>
          </w:p>
        </w:tc>
      </w:tr>
      <w:tr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1.0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01/04/2026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Erwin MOMBILI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Brigitte GOMES</w:t>
            </w:r>
          </w:p>
        </w:tc>
        <w:tc>
          <w:tcPr>
            <w:tcW w:type="dxa" w:w="1871"/>
          </w:tcPr>
          <w:p>
            <w:r/>
            <w:r>
              <w:rPr>
                <w:b w:val="0"/>
                <w:sz w:val="18"/>
              </w:rPr>
              <w:t>Service ISO</w:t>
            </w:r>
          </w:p>
        </w:tc>
      </w:tr>
    </w:tbl>
    <w:p/>
    <w:p>
      <w:pPr>
        <w:shd w:val="clear" w:color="auto" w:fill="BDD7EE"/>
      </w:pPr>
      <w:r>
        <w:rPr>
          <w:b/>
          <w:sz w:val="18"/>
        </w:rPr>
        <w:t>RÉSUMÉ</w:t>
      </w:r>
    </w:p>
    <w:p>
      <w:r>
        <w:rPr>
          <w:sz w:val="20"/>
        </w:rPr>
        <w:t>Ce document définit la procédure d'intervention du NOC Service Technique en réponse à une perte partielle ou totale de supervision des équipements OTN Ribbon/Apollo déployés sur les sites Telehouse 2 (TH2) et Telehouse 3 (TH3).</w:t>
      </w:r>
    </w:p>
    <w:p>
      <w:r>
        <w:rPr>
          <w:sz w:val="20"/>
        </w:rPr>
        <w:t>La supervision repose sur deux systèmes complémentaires : Lightsoft (EMS Ribbon, canal GCC/STMS interne) et Vizee (SaaS OOB). Une perte de supervision peut affecter la visibilité des NE sans nécessairement impliquer une interruption de service client — la distinction est critique pour la qualification initiale.</w:t>
      </w:r>
    </w:p>
    <w:p>
      <w:r>
        <w:rPr>
          <w:sz w:val="20"/>
        </w:rPr>
        <w:t>Sur la base de 14 incidents (2021-2025) : causes principales — perte lien OOB opérateur Cogent/euNetworks (~60%), bascule cluster Fortigate (~25%), alarmes OSPF auto-cleared sur PHO/Ribbon (~15%). TTR moyen : 15–45 min.</w:t>
      </w:r>
    </w:p>
    <w:p/>
    <w:p>
      <w:pPr>
        <w:shd w:val="clear" w:color="auto" w:fill="BDD7EE"/>
      </w:pPr>
      <w:r>
        <w:rPr>
          <w:b/>
          <w:sz w:val="18"/>
        </w:rPr>
        <w:t>ÉQUIPEMENTS COUVERTS</w:t>
      </w:r>
    </w:p>
    <w:p>
      <w:r>
        <w:rPr>
          <w:sz w:val="18"/>
        </w:rPr>
        <w:t>Lightsoft (EMS Ribbon) : Poste OOB Telehouse 2 &amp; 3</w:t>
      </w:r>
    </w:p>
    <w:p>
      <w:r>
        <w:rPr>
          <w:sz w:val="18"/>
        </w:rPr>
        <w:t>Vizee : dash-4uvocd.vizee.io — supervision SaaS et centralisation logs OOB</w:t>
      </w:r>
    </w:p>
    <w:p>
      <w:r>
        <w:rPr>
          <w:sz w:val="18"/>
        </w:rPr>
        <w:t>Firewall : cluster Fortigate 100F (TH2-FW-01, TH3-FW-01) — protection périmètre OOB</w:t>
      </w:r>
    </w:p>
    <w:p>
      <w:r>
        <w:rPr>
          <w:sz w:val="18"/>
        </w:rPr>
        <w:t>Switchs OOB : Cisco Catalyst C9200L-48T-4X (TH2-SW-01/02, TH3-SW-01/02)</w:t>
      </w:r>
    </w:p>
    <w:p>
      <w:r>
        <w:rPr>
          <w:sz w:val="18"/>
        </w:rPr>
        <w:t>Serveur Console : Opengear CM7000 (TH2-CON-01, TH3-CON-01) — accès console hors-bande</w:t>
      </w:r>
    </w:p>
    <w:p>
      <w:r>
        <w:rPr>
          <w:sz w:val="18"/>
        </w:rPr>
        <w:t>Serveur Radius : Radiator Mini Pack — authentification Lightsoft / Vizee</w:t>
      </w:r>
    </w:p>
    <w:p/>
    <w:p>
      <w:pPr>
        <w:shd w:val="clear" w:color="auto" w:fill="BDD7EE"/>
      </w:pPr>
      <w:r>
        <w:rPr>
          <w:b/>
          <w:sz w:val="18"/>
        </w:rPr>
        <w:t>CONTACTS D'ESCALADE</w:t>
      </w:r>
    </w:p>
    <w:p>
      <w:r>
        <w:rPr>
          <w:sz w:val="18"/>
        </w:rPr>
        <w:t>Support Supervision OOB : lugos.atlassian.net (login otn.noc) — ticket priorité P2</w:t>
      </w:r>
    </w:p>
    <w:p>
      <w:r>
        <w:rPr>
          <w:sz w:val="18"/>
        </w:rPr>
        <w:t>Telehouse NOC : OTN.Management@fr.telehouse.net — escalade N+1 site</w:t>
      </w:r>
    </w:p>
    <w:p>
      <w:r>
        <w:rPr>
          <w:sz w:val="18"/>
        </w:rPr>
        <w:t>Escalade Telehouse N+1 : si TTR &gt; 60 min ou impact service client confirmé</w:t>
      </w:r>
    </w:p>
    <w:p>
      <w:r>
        <w:rPr>
          <w:sz w:val="18"/>
        </w:rPr>
        <w:t>Astreinte Lugos : disponible 24h/7j pour réinitialisation Radius et switch OOB</w:t>
      </w:r>
    </w:p>
    <w:p/>
    <w:p>
      <w:r>
        <w:rPr>
          <w:b/>
          <w:color w:val="1F3864"/>
          <w:sz w:val="18"/>
        </w:rPr>
        <w:t>CACHET DE VALIDATION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RÉDIGÉ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VÉRIFIÉ PAR</w:t>
            </w:r>
          </w:p>
        </w:tc>
        <w:tc>
          <w:tcPr>
            <w:tcW w:type="dxa" w:w="3118"/>
            <w:shd w:val="clear" w:color="auto" w:fill="1F3864"/>
          </w:tcPr>
          <w:p>
            <w:r/>
            <w:r>
              <w:rPr>
                <w:b/>
                <w:color w:val="FFFFFF"/>
                <w:sz w:val="16"/>
              </w:rPr>
              <w:t>APPROUVÉ PAR</w:t>
            </w:r>
          </w:p>
        </w:tc>
      </w:tr>
      <w:tr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Erwin MOMBILI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Brigitte GOMES</w:t>
            </w:r>
          </w:p>
        </w:tc>
        <w:tc>
          <w:tcPr>
            <w:tcW w:type="dxa" w:w="3118"/>
            <w:shd w:val="clear" w:color="auto" w:fill="BDD7EE"/>
          </w:tcPr>
          <w:p>
            <w:r/>
            <w:r>
              <w:rPr>
                <w:b/>
                <w:sz w:val="18"/>
              </w:rPr>
              <w:t>Service ISO</w:t>
            </w:r>
          </w:p>
        </w:tc>
      </w:tr>
      <w:tr>
        <w:tc>
          <w:tcPr>
            <w:tcW w:type="dxa" w:w="3118"/>
          </w:tcPr>
          <w:p>
            <w:r/>
            <w:r>
              <w:rPr>
                <w:b w:val="0"/>
                <w:sz w:val="16"/>
              </w:rPr>
              <w:t>01/04/2026</w:t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  <w:tc>
          <w:tcPr>
            <w:tcW w:type="dxa" w:w="3118"/>
          </w:tcPr>
          <w:p>
            <w:r/>
            <w:r>
              <w:rPr>
                <w:b w:val="0"/>
                <w:sz w:val="16"/>
              </w:rPr>
            </w:r>
          </w:p>
        </w:tc>
      </w:tr>
      <w:tr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  <w:tc>
          <w:tcPr>
            <w:tcW w:type="dxa" w:w="3118"/>
          </w:tcPr>
          <w:p>
            <w:pPr>
              <w:spacing w:after="480"/>
            </w:pPr>
            <w:r/>
            <w:r>
              <w:rPr>
                <w:b w:val="0"/>
                <w:sz w:val="16"/>
              </w:rPr>
              <w:t>Signature :</w:t>
            </w:r>
          </w:p>
        </w:tc>
      </w:tr>
    </w:tbl>
    <w:p>
      <w:r>
        <w:br w:type="page"/>
      </w:r>
    </w:p>
    <w:p>
      <w:pPr>
        <w:pStyle w:val="Heading1"/>
      </w:pPr>
      <w:r>
        <w:rPr>
          <w:color w:val="1F3864"/>
        </w:rPr>
        <w:t>Section 1 — Objet (quoi / pourquoi)</w:t>
      </w:r>
    </w:p>
    <w:p>
      <w:r>
        <w:rPr>
          <w:sz w:val="20"/>
        </w:rPr>
        <w:t>Objet : standardiser les actions NOC pour diagnostiquer et résoudre toute perte de visibilité sur les équipements OTN Ribbon/Apollo, quelle que soit la couche affectée (réseau OOB, authentification Radius, supervision EMS).</w:t>
      </w:r>
    </w:p>
    <w:p>
      <w:r>
        <w:rPr>
          <w:sz w:val="20"/>
        </w:rPr>
        <w:t>Déclencheurs couverts :</w:t>
      </w:r>
    </w:p>
    <w:p>
      <w:pPr>
        <w:pStyle w:val="ListBullet"/>
      </w:pPr>
      <w:r>
        <w:rPr>
          <w:sz w:val="20"/>
        </w:rPr>
        <w:t>Alerte Vizee : Restart ou bascule du firewall Fortigate (THx-FW-0x)</w:t>
      </w:r>
    </w:p>
    <w:p>
      <w:pPr>
        <w:pStyle w:val="ListBullet"/>
      </w:pPr>
      <w:r>
        <w:rPr>
          <w:sz w:val="20"/>
        </w:rPr>
        <w:t>Alarme opérateur OOB : perte de lien Cogent ou euNetworks sur port WAN</w:t>
      </w:r>
    </w:p>
    <w:p>
      <w:pPr>
        <w:pStyle w:val="ListBullet"/>
      </w:pPr>
      <w:r>
        <w:rPr>
          <w:sz w:val="20"/>
        </w:rPr>
        <w:t>Alarme 'No OSPF hello packets received from neighbor' sur NE Ribbon (typiquement auto-cleared &lt; 30 s ; à corréler avec alarmes PHO)</w:t>
      </w:r>
    </w:p>
    <w:p>
      <w:pPr>
        <w:pStyle w:val="ListBullet"/>
      </w:pPr>
      <w:r>
        <w:rPr>
          <w:sz w:val="20"/>
        </w:rPr>
        <w:t>Perte d'accès CLI SSH sur un ou plusieurs NE via réseau OOB</w:t>
      </w:r>
    </w:p>
    <w:p>
      <w:pPr>
        <w:pStyle w:val="ListBullet"/>
      </w:pPr>
      <w:r>
        <w:rPr>
          <w:sz w:val="20"/>
        </w:rPr>
        <w:t>Blocage d'authentification Lightsoft ou Vizee (Radius)</w:t>
      </w:r>
    </w:p>
    <w:p>
      <w:pPr>
        <w:pStyle w:val="ListBullet"/>
      </w:pPr>
      <w:r>
        <w:rPr>
          <w:sz w:val="20"/>
        </w:rPr>
        <w:t>NE en état 'Management Lost' sur Lightsoft (perte GCC/STMS)</w:t>
      </w:r>
    </w:p>
    <w:p>
      <w:r>
        <w:rPr>
          <w:sz w:val="20"/>
        </w:rPr>
        <w:t>Exclusions : dégradation optique FEC/BER → MOP M0.21 ; perte service client LOS/LOF → MOP M0.22-M0.24. Reconfiguration réseau OOB : périmètre Lugos NOC exclusivement.</w:t>
      </w:r>
    </w:p>
    <w:p>
      <w:r>
        <w:rPr>
          <w:sz w:val="20"/>
        </w:rPr>
        <w:t>Criticités :</w:t>
      </w:r>
    </w:p>
    <w:p>
      <w:pPr>
        <w:pStyle w:val="ListBullet"/>
      </w:pPr>
      <w:r>
        <w:rPr>
          <w:sz w:val="20"/>
        </w:rPr>
        <w:t>MINEUR : supervision partielle, service client intact, alarme Vizee isolée</w:t>
      </w:r>
    </w:p>
    <w:p>
      <w:pPr>
        <w:pStyle w:val="ListBullet"/>
      </w:pPr>
      <w:r>
        <w:rPr>
          <w:sz w:val="20"/>
        </w:rPr>
        <w:t>MINEUR→MAJEUR : supervision multi-sites ou persistante &gt; 30 min, SSH indisponible sur NE, bascule Fortigate confirmée</w:t>
      </w:r>
    </w:p>
    <w:p>
      <w:pPr>
        <w:pStyle w:val="ListBullet"/>
      </w:pPr>
      <w:r>
        <w:rPr>
          <w:sz w:val="20"/>
        </w:rPr>
        <w:t>MAJEUR : perte totale Lightsoft + Vizee simultanée, OOB indisponible sur TH2 et TH3</w:t>
      </w:r>
    </w:p>
    <w:p>
      <w:r>
        <w:rPr>
          <w:sz w:val="20"/>
        </w:rPr>
        <w:t>Références normatives : ITU-T G.8080 (architecture OTN), ITU-T G.826 (disponibilité), SOP 10-SOP (Vérification OOB &amp; Accès management).</w:t>
      </w:r>
    </w:p>
    <w:p/>
    <w:p>
      <w:pPr>
        <w:pStyle w:val="Heading1"/>
      </w:pPr>
      <w:r>
        <w:rPr>
          <w:color w:val="1F3864"/>
        </w:rPr>
        <w:t>Section 2 — Rôles et responsabilités (qui)</w:t>
      </w:r>
    </w:p>
    <w:p>
      <w:r>
        <w:rPr>
          <w:sz w:val="20"/>
        </w:rPr>
        <w:t>Responsabilité principale : Service Desk NOC — qualification initiale et application de la procédure de la Phase 1 à la Phase 4.</w:t>
      </w:r>
    </w:p>
    <w:p>
      <w:r>
        <w:rPr>
          <w:sz w:val="20"/>
        </w:rPr>
        <w:t>Matrice RACI :</w:t>
      </w:r>
    </w:p>
    <w:p>
      <w:pPr>
        <w:pStyle w:val="ListBullet"/>
      </w:pPr>
      <w:r>
        <w:rPr>
          <w:sz w:val="20"/>
        </w:rPr>
        <w:t>Service Desk (NOC) : Responsable (R) — exécution phases 1-4, documentation ticket</w:t>
      </w:r>
    </w:p>
    <w:p>
      <w:pPr>
        <w:pStyle w:val="ListBullet"/>
      </w:pPr>
      <w:r>
        <w:rPr>
          <w:sz w:val="20"/>
        </w:rPr>
        <w:t>Technicien N+1 (Service Technique) : Consulté (C) — si TTR &gt; 60 min ou incident MAJEUR</w:t>
      </w:r>
    </w:p>
    <w:p>
      <w:pPr>
        <w:pStyle w:val="ListBullet"/>
      </w:pPr>
      <w:r>
        <w:rPr>
          <w:sz w:val="20"/>
        </w:rPr>
        <w:t>Lugos NOC (astreinte 24h/7j) : Responsable (R) délégué — réinitialisation Radius, intervention switch OOB TH2/TH3</w:t>
      </w:r>
    </w:p>
    <w:p>
      <w:pPr>
        <w:pStyle w:val="ListBullet"/>
      </w:pPr>
      <w:r>
        <w:rPr>
          <w:sz w:val="20"/>
        </w:rPr>
        <w:t>Telehouse NOC : Informé (I) — OTN.Management@fr.telehouse.net si impact site</w:t>
      </w:r>
    </w:p>
    <w:p>
      <w:pPr>
        <w:pStyle w:val="ListBullet"/>
      </w:pPr>
      <w:r>
        <w:rPr>
          <w:sz w:val="20"/>
        </w:rPr>
        <w:t>Service ISO : Approbateur (A) — revue documentaire post-incident si RCA requise</w:t>
      </w:r>
    </w:p>
    <w:p>
      <w:r>
        <w:rPr>
          <w:sz w:val="20"/>
        </w:rPr>
        <w:t>Règles d'escalade :</w:t>
      </w:r>
    </w:p>
    <w:p>
      <w:pPr>
        <w:pStyle w:val="ListBullet"/>
      </w:pPr>
      <w:r>
        <w:rPr>
          <w:sz w:val="20"/>
        </w:rPr>
        <w:t>TTR &gt; 60 min sans résolution : escalader vers Technicien N+1</w:t>
      </w:r>
    </w:p>
    <w:p>
      <w:pPr>
        <w:pStyle w:val="ListBullet"/>
      </w:pPr>
      <w:r>
        <w:rPr>
          <w:sz w:val="20"/>
        </w:rPr>
        <w:t>Impact service client confirmé : basculer sur MOP M0.22 ou M0.24 selon équipement</w:t>
      </w:r>
    </w:p>
    <w:p>
      <w:pPr>
        <w:pStyle w:val="ListBullet"/>
      </w:pPr>
      <w:r>
        <w:rPr>
          <w:sz w:val="20"/>
        </w:rPr>
        <w:t>Bascule Fortigate avec service dégradé : contacter astreinte Lugos immédiatement</w:t>
      </w:r>
    </w:p>
    <w:p>
      <w:pPr>
        <w:pStyle w:val="ListBullet"/>
      </w:pPr>
      <w:r>
        <w:rPr>
          <w:sz w:val="20"/>
        </w:rPr>
        <w:t>Incident Radius : contacter astreinte Lugos — ne pas tenter &gt; 3 connexions</w:t>
      </w:r>
    </w:p>
    <w:p>
      <w:r>
        <w:rPr>
          <w:sz w:val="20"/>
        </w:rPr>
        <w:t>Hors périmètre : interventions physiques sur site TH2/TH3 requièrent coordination Telehouse NOC et bon d'intervention préalable.</w:t>
      </w:r>
    </w:p>
    <w:p/>
    <w:p>
      <w:pPr>
        <w:pStyle w:val="Heading1"/>
      </w:pPr>
      <w:r>
        <w:rPr>
          <w:color w:val="1F3864"/>
        </w:rPr>
        <w:t>Section 3 — Description du processus (comment)</w:t>
      </w:r>
    </w:p>
    <w:p>
      <w:r>
        <w:rPr>
          <w:b/>
        </w:rPr>
        <w:t xml:space="preserve">Contexte terrain : </w:t>
      </w:r>
    </w:p>
    <w:p>
      <w:r>
        <w:rPr>
          <w:sz w:val="20"/>
        </w:rPr>
        <w:t>Contexte terrain (REX 2021-2025, 14 incidents) : causes principales — perte lien OOB opérateur (~60%), bascule cluster Fortigate (~25%), alarmes OSPF auto-cleared &lt;30s sur PHO/Ribbon (~15%). TTR moyen : 15–45 min (alarmes OSPF typiquement cleared &lt; 30 s — vérifier systématiquement la corrélation protection switch PHO).</w:t>
      </w:r>
    </w:p>
    <w:p>
      <w:pPr>
        <w:pStyle w:val="Heading2"/>
      </w:pPr>
      <w:r>
        <w:t>3.1 — Phases d'intervention</w:t>
      </w:r>
    </w:p>
    <w:p>
      <w:pPr>
        <w:pStyle w:val="Heading3"/>
      </w:pPr>
      <w:r>
        <w:t>3.1.1 Phase 1 — Qualification initiale</w:t>
      </w:r>
    </w:p>
    <w:p>
      <w:pPr>
        <w:pStyle w:val="ListNumber"/>
      </w:pPr>
      <w:r>
        <w:rPr>
          <w:sz w:val="20"/>
        </w:rPr>
        <w:t>Acquitter les alarmes actives Lightsoft/Vizee (envoi mail de prise en charge).</w:t>
      </w:r>
    </w:p>
    <w:p>
      <w:pPr>
        <w:pStyle w:val="ListNumber"/>
      </w:pPr>
      <w:r>
        <w:rPr>
          <w:sz w:val="20"/>
        </w:rPr>
        <w:t>Vérifier le planning de maintenance TH2/TH3 : si alarme correspond à une maintenance planifiée, documenter et surveiller sans escalader.</w:t>
      </w:r>
    </w:p>
    <w:p>
      <w:pPr>
        <w:pStyle w:val="ListNumber"/>
      </w:pPr>
      <w:r>
        <w:rPr>
          <w:sz w:val="20"/>
        </w:rPr>
        <w:t>Ouvrir Vizee (dash-4uvocd.vizee.io) : comparer l'état des NE sur TH2 et TH3. Identifier si la perte est mono-site ou bi-sites, partielle ou totale.</w:t>
      </w:r>
    </w:p>
    <w:p>
      <w:pPr>
        <w:pStyle w:val="ListNumber"/>
      </w:pPr>
      <w:r>
        <w:rPr>
          <w:sz w:val="20"/>
        </w:rPr>
        <w:t>Ouvrir Lightsoft : contrôler l'état EMS de chaque NE. Distinguer 'Management Lost' (perte GCC/STMS) de 'Alarm Active' (équipement accessible mais en alarme).</w:t>
      </w:r>
    </w:p>
    <w:p>
      <w:pPr>
        <w:pStyle w:val="ListNumber"/>
      </w:pPr>
      <w:r>
        <w:rPr>
          <w:sz w:val="20"/>
        </w:rPr>
        <w:t>Identifier le périmètre exact : NE affectés, sites, type de supervision perdue (Lightsoft seul, Vizee seul, ou les deux).</w:t>
      </w:r>
    </w:p>
    <w:p>
      <w:pPr>
        <w:pStyle w:val="ListNumber"/>
      </w:pPr>
      <w:r>
        <w:rPr>
          <w:sz w:val="20"/>
        </w:rPr>
        <w:t>Ouvrir un ticket d'incident : heure de début, périmètre, alarmes observées, criticité initiale.</w:t>
      </w:r>
    </w:p>
    <w:p>
      <w:pPr>
        <w:pStyle w:val="Heading3"/>
      </w:pPr>
      <w:r>
        <w:t>3.1.2 Phase 2 — Diagnostic et actions</w:t>
      </w:r>
    </w:p>
    <w:p>
      <w:pPr>
        <w:pStyle w:val="ListNumber"/>
      </w:pPr>
      <w:r>
        <w:rPr>
          <w:sz w:val="20"/>
        </w:rPr>
        <w:t>Appliquer SOP 10-SOP (Vérification OOB &amp; Accès management) : ping gateway OOB, test SSH NE affectés, vérification règles firewall Lugos.</w:t>
      </w:r>
    </w:p>
    <w:p>
      <w:pPr>
        <w:pStyle w:val="ListNumber"/>
      </w:pPr>
      <w:r>
        <w:rPr>
          <w:sz w:val="20"/>
        </w:rPr>
        <w:t>Accès SSH KO sur tous les NE d'un site : vérifier connectivité WAN Fortigate (THx-FW-0x). Contrôler les logs Vizee pour détecter une bascule active/passive. Si bascule confirmée → Phase 3 action A.</w:t>
      </w:r>
    </w:p>
    <w:p>
      <w:pPr>
        <w:pStyle w:val="ListNumber"/>
      </w:pPr>
      <w:r>
        <w:rPr>
          <w:sz w:val="20"/>
        </w:rPr>
        <w:t>Accès SSH KO sur un seul NE : vérifier le port switch OOB correspondant (THx-SW-01 ou THx-SW-02). Tester le port console Opengear CM7000 en secours.</w:t>
      </w:r>
    </w:p>
    <w:p>
      <w:pPr>
        <w:pStyle w:val="ListNumber"/>
      </w:pPr>
      <w:r>
        <w:rPr>
          <w:sz w:val="20"/>
        </w:rPr>
        <w:t>Blocage authentification Lightsoft/Vizee (RADIUS timeout) : contacter astreinte Lugos pour réinitialisation. Ne pas tenter &gt; 3 connexions.</w:t>
      </w:r>
    </w:p>
    <w:p>
      <w:pPr>
        <w:pStyle w:val="ListNumber"/>
      </w:pPr>
      <w:r>
        <w:rPr>
          <w:sz w:val="20"/>
        </w:rPr>
        <w:t>Alarme OSPF 'No hello received' : vérifier corrélation protection switch PHO sur même NE. Si protection switch actif → alarme vraisemblablement auto-cleared &lt; 30 s. Surveiller 60 s.</w:t>
      </w:r>
    </w:p>
    <w:p>
      <w:pPr>
        <w:pStyle w:val="ListNumber"/>
      </w:pPr>
      <w:r>
        <w:rPr>
          <w:sz w:val="20"/>
        </w:rPr>
        <w:t>Perte STMS (NE 'Management Lost' Lightsoft) : appliquer 15-SOP (Escalade Ribbon) — canal GCC affecté, intervention constructeur potentiellement requise.</w:t>
      </w:r>
    </w:p>
    <w:p>
      <w:pPr>
        <w:pStyle w:val="ListNumber"/>
      </w:pPr>
      <w:r>
        <w:rPr>
          <w:sz w:val="20"/>
        </w:rPr>
        <w:t>Documenter chaque action dans le ticket : heure, action, résultat observé.</w:t>
      </w:r>
    </w:p>
    <w:p>
      <w:pPr>
        <w:pStyle w:val="Heading3"/>
      </w:pPr>
      <w:r>
        <w:t>3.1.3 Phase 3 — Résolution et restoration</w:t>
      </w:r>
    </w:p>
    <w:p>
      <w:pPr>
        <w:pStyle w:val="ListNumber"/>
      </w:pPr>
      <w:r>
        <w:rPr>
          <w:sz w:val="20"/>
        </w:rPr>
        <w:t>Appliquer la SOP identifiée en Phase 2 :</w:t>
      </w:r>
    </w:p>
    <w:p>
      <w:r>
        <w:rPr>
          <w:sz w:val="20"/>
        </w:rPr>
        <w:t>A. Bascule Fortigate : coordonner avec Lugos NOC pour retour en configuration active/passive standard. Vérifier l'intégrité des routes OOB après retour.</w:t>
      </w:r>
    </w:p>
    <w:p>
      <w:r>
        <w:rPr>
          <w:sz w:val="20"/>
        </w:rPr>
        <w:t>B. Perte lien WAN OOB (Cogent/euNetworks) : ouvrir ticket opérateur. Appliquer SOP 17-SOP (Escalade Opérateur).</w:t>
      </w:r>
    </w:p>
    <w:p>
      <w:r>
        <w:rPr>
          <w:sz w:val="20"/>
        </w:rPr>
        <w:t>C. Switch OOB défaillant : basculer sur switch redondant (THx-SW-02). Notifier Lugos pour remplacement.</w:t>
      </w:r>
    </w:p>
    <w:p>
      <w:r>
        <w:rPr>
          <w:sz w:val="20"/>
        </w:rPr>
        <w:t>D. Radius bloqué : après réinitialisation Lugos, tester login Lightsoft et Vizee. Valider les deux systèmes opérationnels.</w:t>
      </w:r>
    </w:p>
    <w:p>
      <w:pPr>
        <w:pStyle w:val="ListNumber"/>
      </w:pPr>
      <w:r>
        <w:rPr>
          <w:sz w:val="20"/>
        </w:rPr>
        <w:t>Après chaque action corrective : attendre 2 min et vérifier le retour à la normale dans Lightsoft ('In-Service' ou 'Active') et Vizee ('OK' ou 'Operational').</w:t>
      </w:r>
    </w:p>
    <w:p>
      <w:pPr>
        <w:pStyle w:val="ListNumber"/>
      </w:pPr>
      <w:r>
        <w:rPr>
          <w:sz w:val="20"/>
        </w:rPr>
        <w:t>Documenter toutes les actions correctives avec heure et résultat constaté.</w:t>
      </w:r>
    </w:p>
    <w:p>
      <w:pPr>
        <w:pStyle w:val="Heading3"/>
      </w:pPr>
      <w:r>
        <w:t>3.1.4 Phase 4 — Clôture et retour à la normale</w:t>
      </w:r>
    </w:p>
    <w:p>
      <w:pPr>
        <w:pStyle w:val="ListNumber"/>
      </w:pPr>
      <w:r>
        <w:rPr>
          <w:sz w:val="20"/>
        </w:rPr>
        <w:t>Confirmer le retour à la normale : tous les NE affectés visibles dans Lightsoft ('In-Service') ET dans Vizee ('Operational'). Absence d'alarme active résiduelle.</w:t>
      </w:r>
    </w:p>
    <w:p>
      <w:pPr>
        <w:pStyle w:val="ListNumber"/>
      </w:pPr>
      <w:r>
        <w:rPr>
          <w:sz w:val="20"/>
        </w:rPr>
        <w:t>Clôturer le ticket avec :</w:t>
      </w:r>
    </w:p>
    <w:p>
      <w:pPr>
        <w:pStyle w:val="ListBullet"/>
      </w:pPr>
      <w:r>
        <w:rPr>
          <w:sz w:val="20"/>
        </w:rPr>
        <w:t>TTR réel (heure début → heure résolution)</w:t>
      </w:r>
    </w:p>
    <w:p>
      <w:pPr>
        <w:pStyle w:val="ListBullet"/>
      </w:pPr>
      <w:r>
        <w:rPr>
          <w:sz w:val="20"/>
        </w:rPr>
        <w:t>Cause racine identifiée (lien OOB, Fortigate, Radius, autre)</w:t>
      </w:r>
    </w:p>
    <w:p>
      <w:pPr>
        <w:pStyle w:val="ListBullet"/>
      </w:pPr>
      <w:r>
        <w:rPr>
          <w:sz w:val="20"/>
        </w:rPr>
        <w:t>Actions correctives appliquées</w:t>
      </w:r>
    </w:p>
    <w:p>
      <w:pPr>
        <w:pStyle w:val="ListBullet"/>
      </w:pPr>
      <w:r>
        <w:rPr>
          <w:sz w:val="20"/>
        </w:rPr>
        <w:t>Références tickets escalade (Lugos, Telehouse, opérateur)</w:t>
      </w:r>
    </w:p>
    <w:p>
      <w:pPr>
        <w:pStyle w:val="ListNumber"/>
      </w:pPr>
      <w:r>
        <w:rPr>
          <w:sz w:val="20"/>
        </w:rPr>
        <w:t>Incident récurrent (2ème occurrence dans les 30 jours) : escalader vers Service Technique pour analyse RCA. Ouvrir une FAC dans le système qualité.</w:t>
      </w:r>
    </w:p>
    <w:p>
      <w:pPr>
        <w:pStyle w:val="ListNumber"/>
      </w:pPr>
      <w:r>
        <w:rPr>
          <w:sz w:val="20"/>
        </w:rPr>
        <w:t>Archiver les exports Vizee et logs Lightsoft dans Lugos-Telehouse-Formation_CdS.</w:t>
      </w:r>
    </w:p>
    <w:p/>
    <w:p>
      <w:pPr>
        <w:pStyle w:val="Heading1"/>
      </w:pPr>
      <w:r>
        <w:rPr>
          <w:color w:val="1F3864"/>
        </w:rPr>
        <w:t>Section 4 — Glossaire</w:t>
      </w:r>
    </w:p>
    <w:p>
      <w:r>
        <w:rPr>
          <w:sz w:val="20"/>
        </w:rPr>
        <w:t>OOB : Out Of Band — réseau de gestion externe, indépendant du réseau de transport.</w:t>
      </w:r>
    </w:p>
    <w:p>
      <w:r>
        <w:rPr>
          <w:sz w:val="20"/>
        </w:rPr>
        <w:t>NE : Network Element — équipement optique OTN Ribbon/Apollo.</w:t>
      </w:r>
    </w:p>
    <w:p>
      <w:r>
        <w:rPr>
          <w:sz w:val="20"/>
        </w:rPr>
        <w:t>EMS / Lightsoft : Element Management System Ribbon — supervision via GCC/STMS.</w:t>
      </w:r>
    </w:p>
    <w:p>
      <w:r>
        <w:rPr>
          <w:sz w:val="20"/>
        </w:rPr>
        <w:t>Vizee : supervision SaaS et centralisation des logs OOB (dash-4uvocd.vizee.io).</w:t>
      </w:r>
    </w:p>
    <w:p>
      <w:r>
        <w:rPr>
          <w:sz w:val="20"/>
        </w:rPr>
        <w:t>OSPF : Open Shortest Path First — protocole de routage réseau de gestion Ribbon.</w:t>
      </w:r>
    </w:p>
    <w:p>
      <w:r>
        <w:rPr>
          <w:sz w:val="20"/>
        </w:rPr>
        <w:t>GCC : Gateway Control Channel — canal de gestion interne OTN entre NE.</w:t>
      </w:r>
    </w:p>
    <w:p>
      <w:r>
        <w:rPr>
          <w:sz w:val="20"/>
        </w:rPr>
        <w:t>STMS : Synchronous Transport Management System — gestion synchronisation Ribbon.</w:t>
      </w:r>
    </w:p>
    <w:p>
      <w:r>
        <w:rPr>
          <w:sz w:val="20"/>
        </w:rPr>
        <w:t>Radius : protocole d'authentification réseau (accès Lightsoft/Vizee).</w:t>
      </w:r>
    </w:p>
    <w:p>
      <w:r>
        <w:rPr>
          <w:sz w:val="20"/>
        </w:rPr>
        <w:t>TTR : Time To Repair — durée effective de résolution de l'incident.</w:t>
      </w:r>
    </w:p>
    <w:p>
      <w:r>
        <w:rPr>
          <w:sz w:val="20"/>
        </w:rPr>
        <w:t>RCA : Root Cause Analysis — analyse de cause racine post-incident.</w:t>
      </w:r>
    </w:p>
    <w:p>
      <w:r>
        <w:rPr>
          <w:sz w:val="20"/>
        </w:rPr>
        <w:t>FAC : Fiche d'Action Corrective — document qualité tracé dans le système ISO.</w:t>
      </w:r>
    </w:p>
    <w:p>
      <w:r>
        <w:rPr>
          <w:sz w:val="20"/>
        </w:rPr>
        <w:t>SFP : Small Form-factor Pluggable — transceiver optique enfichable.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41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AAAAAA"/>
        <w:sz w:val="16"/>
      </w:rPr>
      <w:t>OPSSD-03.03.M0.20-P  —  CONFIDENTIEL INTERNE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tabs>
        <w:tab w:val="center" w:pos="4680"/>
        <w:tab w:val="right" w:pos="9360"/>
      </w:tabs>
      <w:pBdr>
        <w:bottom w:val="single" w:sz="4" w:space="1" w:color="1F3864"/>
      </w:pBdr>
    </w:pPr>
    <w:r>
      <w:rPr>
        <w:b/>
        <w:color w:val="1F3864"/>
        <w:sz w:val="16"/>
      </w:rPr>
      <w:t>OPSSD-03.03.M0.20-P</w:t>
    </w:r>
    <w:r>
      <w:tab/>
    </w:r>
    <w:r>
      <w:rPr>
        <w:i/>
        <w:sz w:val="16"/>
      </w:rPr>
      <w:t>Perte de Supervision</w:t>
    </w:r>
    <w:r>
      <w:tab/>
    </w:r>
    <w:r>
      <w:rPr>
        <w:color w:val="888888"/>
        <w:sz w:val="16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365F91" w:themeColor="accent1" w:themeShade="BF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