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227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p-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274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1F3864"/>
          <w:sz w:val="32"/>
        </w:rPr>
        <w:t>Perte de Supervision</w:t>
      </w:r>
    </w:p>
    <w:p>
      <w:pPr>
        <w:jc w:val="center"/>
      </w:pPr>
      <w:r>
        <w:rPr>
          <w:sz w:val="20"/>
        </w:rPr>
        <w:t>Procédure = MOP</w:t>
      </w:r>
    </w:p>
    <w:p>
      <w:pPr>
        <w:jc w:val="center"/>
      </w:pPr>
      <w:r>
        <w:rPr>
          <w:sz w:val="20"/>
        </w:rPr>
        <w:t>OPSSD-03.03.M0.20-P</w:t>
      </w:r>
    </w:p>
    <w:p/>
    <w:p>
      <w:r>
        <w:rPr>
          <w:b/>
          <w:color w:val="1F3864"/>
          <w:sz w:val="18"/>
        </w:rPr>
        <w:t>Carte d'identité du document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Référence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OPSSD-03.03.M0.20-P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Type de document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MOP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Niveau de confidentialité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Interne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Titre du document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Perte de Supervision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Résumé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Procédure d'interventionsuite à la perte  de supervision (Lightsoft/Vizee) affectant la visibilité des équipements OTN.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Champ d'application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Réseau OTN — NOC Javisi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Documents associés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Aucun document associé identifié à ce jour.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Propriétaire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Service Technique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Vérificateur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Brigitte Gomes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Approbateur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Service ISO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BDD7EE"/>
          </w:tcPr>
          <w:p>
            <w:r/>
            <w:r>
              <w:rPr>
                <w:b/>
                <w:sz w:val="18"/>
              </w:rPr>
              <w:t>Entrée en vigueur</w:t>
            </w:r>
          </w:p>
        </w:tc>
        <w:tc>
          <w:tcPr>
            <w:tcW w:type="dxa" w:w="4677"/>
            <w:shd w:val="clear" w:color="auto" w:fill="BDD7EE"/>
          </w:tcPr>
          <w:p>
            <w:r/>
            <w:r>
              <w:rPr>
                <w:b/>
                <w:sz w:val="18"/>
              </w:rPr>
              <w:t>Révision</w:t>
            </w:r>
          </w:p>
        </w:tc>
      </w:tr>
      <w:tr>
        <w:tc>
          <w:tcPr>
            <w:tcW w:type="dxa" w:w="4677"/>
          </w:tcPr>
          <w:p>
            <w:r/>
            <w:r>
              <w:rPr>
                <w:b w:val="0"/>
                <w:sz w:val="18"/>
              </w:rPr>
              <w:t>01/03/2026</w:t>
            </w:r>
          </w:p>
        </w:tc>
        <w:tc>
          <w:tcPr>
            <w:tcW w:type="dxa" w:w="4677"/>
          </w:tcPr>
          <w:p>
            <w:r/>
            <w:r>
              <w:rPr>
                <w:b w:val="0"/>
                <w:sz w:val="18"/>
              </w:rPr>
              <w:t>01/03/2028</w:t>
            </w:r>
          </w:p>
        </w:tc>
      </w:tr>
    </w:tbl>
    <w:p/>
    <w:p>
      <w:r>
        <w:rPr>
          <w:b/>
          <w:color w:val="1F3864"/>
          <w:sz w:val="20"/>
        </w:rPr>
        <w:t>HISTORIQUE DES RÉVISIONS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Rev.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Préparé par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Vérifié par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Approuvé par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8"/>
              </w:rPr>
              <w:t>01/04/2026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8"/>
              </w:rPr>
              <w:t>Erwin MOMBILI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8"/>
              </w:rPr>
              <w:t>Brigitte GOMES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8"/>
              </w:rPr>
              <w:t>Service ISO</w:t>
            </w:r>
          </w:p>
        </w:tc>
      </w:tr>
    </w:tbl>
    <w:p/>
    <w:p>
      <w:pPr>
        <w:shd w:val="clear" w:color="auto" w:fill="BDD7EE"/>
      </w:pPr>
      <w:r>
        <w:rPr>
          <w:b/>
          <w:sz w:val="18"/>
        </w:rPr>
        <w:t>RÉSUMÉ</w:t>
      </w:r>
    </w:p>
    <w:p>
      <w:r>
        <w:rPr>
          <w:sz w:val="20"/>
        </w:rPr>
        <w:t>Procédure d'interventionsuite à la perte  de supervision (Lightsoft/Vizee) affectant la visibilité des équipements OTN.</w:t>
      </w:r>
    </w:p>
    <w:p/>
    <w:p>
      <w:pPr>
        <w:shd w:val="clear" w:color="auto" w:fill="BDD7EE"/>
      </w:pPr>
      <w:r>
        <w:rPr>
          <w:b/>
          <w:sz w:val="18"/>
        </w:rPr>
        <w:t>ÉQUIPEMENTS COUVERTS</w:t>
      </w:r>
    </w:p>
    <w:p>
      <w:r>
        <w:rPr>
          <w:sz w:val="18"/>
        </w:rPr>
        <w:t>Lighsoft : Poste OOB</w:t>
      </w:r>
    </w:p>
    <w:p>
      <w:r>
        <w:rPr>
          <w:sz w:val="18"/>
        </w:rPr>
        <w:t>Vizee : dash-4uvocd.vizee.io</w:t>
      </w:r>
    </w:p>
    <w:p>
      <w:r>
        <w:rPr>
          <w:sz w:val="18"/>
        </w:rPr>
        <w:t>Firewall : cluster Fortigate 100F (TH2-FW-01, TH3-FW-01)</w:t>
      </w:r>
    </w:p>
    <w:p>
      <w:r>
        <w:rPr>
          <w:sz w:val="18"/>
        </w:rPr>
        <w:t>Switchs OOB : Cisco C9200L-48T-4X (TH2-SW-01/02, TH3-SW-01/02)</w:t>
      </w:r>
    </w:p>
    <w:p>
      <w:r>
        <w:rPr>
          <w:sz w:val="18"/>
        </w:rPr>
        <w:t>Serveur Console : Opengear CM7000 (TH2-CON-01, TH3-CON-01)</w:t>
      </w:r>
    </w:p>
    <w:p>
      <w:r>
        <w:rPr>
          <w:sz w:val="18"/>
        </w:rPr>
        <w:t>Serveur Radius : Radiator Mini Pack</w:t>
      </w:r>
    </w:p>
    <w:p/>
    <w:p>
      <w:pPr>
        <w:shd w:val="clear" w:color="auto" w:fill="BDD7EE"/>
      </w:pPr>
      <w:r>
        <w:rPr>
          <w:b/>
          <w:sz w:val="18"/>
        </w:rPr>
        <w:t>CONTACTS D'ESCALADE</w:t>
      </w:r>
    </w:p>
    <w:p>
      <w:r>
        <w:rPr>
          <w:sz w:val="18"/>
        </w:rPr>
        <w:t>Support Supervision OOB : lugos.atlassian.net (login otn.noc)</w:t>
      </w:r>
    </w:p>
    <w:p>
      <w:r>
        <w:rPr>
          <w:sz w:val="18"/>
        </w:rPr>
        <w:t>Telehouse : OTN.Management@fr.telehouse.net</w:t>
      </w:r>
    </w:p>
    <w:p>
      <w:r>
        <w:rPr>
          <w:sz w:val="18"/>
        </w:rPr>
        <w:t>Escalade Telehouse N+1</w:t>
      </w:r>
    </w:p>
    <w:p/>
    <w:p>
      <w:r>
        <w:rPr>
          <w:b/>
          <w:color w:val="1F3864"/>
          <w:sz w:val="18"/>
        </w:rPr>
        <w:t>CACHET DE VALIDATION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RÉDIGÉ PAR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VÉRIFIÉ PAR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APPROUVÉ PAR</w:t>
            </w:r>
          </w:p>
        </w:tc>
      </w:tr>
      <w:tr>
        <w:tc>
          <w:tcPr>
            <w:tcW w:type="dxa" w:w="3118"/>
            <w:shd w:val="clear" w:color="auto" w:fill="BDD7EE"/>
          </w:tcPr>
          <w:p>
            <w:r/>
            <w:r>
              <w:rPr>
                <w:b/>
                <w:sz w:val="18"/>
              </w:rPr>
              <w:t>Erwin MOMBILI</w:t>
            </w:r>
          </w:p>
        </w:tc>
        <w:tc>
          <w:tcPr>
            <w:tcW w:type="dxa" w:w="3118"/>
            <w:shd w:val="clear" w:color="auto" w:fill="BDD7EE"/>
          </w:tcPr>
          <w:p>
            <w:r/>
            <w:r>
              <w:rPr>
                <w:b/>
                <w:sz w:val="18"/>
              </w:rPr>
              <w:t>Brigitte GOMES</w:t>
            </w:r>
          </w:p>
        </w:tc>
        <w:tc>
          <w:tcPr>
            <w:tcW w:type="dxa" w:w="3118"/>
            <w:shd w:val="clear" w:color="auto" w:fill="BDD7EE"/>
          </w:tcPr>
          <w:p>
            <w:r/>
            <w:r>
              <w:rPr>
                <w:b/>
                <w:sz w:val="18"/>
              </w:rPr>
              <w:t>Service ISO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01/04/2026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118"/>
          </w:tcPr>
          <w:p>
            <w:pPr>
              <w:spacing w:after="480"/>
            </w:pPr>
            <w:r/>
            <w:r>
              <w:rPr>
                <w:b w:val="0"/>
                <w:sz w:val="16"/>
              </w:rPr>
              <w:t>Signature :</w:t>
            </w:r>
          </w:p>
        </w:tc>
        <w:tc>
          <w:tcPr>
            <w:tcW w:type="dxa" w:w="3118"/>
          </w:tcPr>
          <w:p>
            <w:pPr>
              <w:spacing w:after="480"/>
            </w:pPr>
            <w:r/>
            <w:r>
              <w:rPr>
                <w:b w:val="0"/>
                <w:sz w:val="16"/>
              </w:rPr>
              <w:t>Signature :</w:t>
            </w:r>
          </w:p>
        </w:tc>
        <w:tc>
          <w:tcPr>
            <w:tcW w:type="dxa" w:w="3118"/>
          </w:tcPr>
          <w:p>
            <w:pPr>
              <w:spacing w:after="480"/>
            </w:pPr>
            <w:r/>
            <w:r>
              <w:rPr>
                <w:b w:val="0"/>
                <w:sz w:val="16"/>
              </w:rPr>
              <w:t>Signature :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Section 1 — Objet (quoi / pourquoi)</w:t>
      </w:r>
    </w:p>
    <w:p>
      <w:r>
        <w:rPr>
          <w:sz w:val="20"/>
        </w:rPr>
        <w:t>Symptômes couverts : Alerte Vizee: Restart/bascule du firewall (THx-FW-0x) ; Alarme operateur OOB (Cogent euNetworks); Alarme 'No OSPF hello packets received from neighbor' auto-cleared en &lt;30s;</w:t>
      </w:r>
    </w:p>
    <w:p/>
    <w:p>
      <w:pPr>
        <w:pStyle w:val="Heading1"/>
      </w:pPr>
      <w:r>
        <w:rPr>
          <w:color w:val="1F3864"/>
        </w:rPr>
        <w:t>Section 2 — Rôles et responsabilités (qui)</w:t>
      </w:r>
    </w:p>
    <w:p>
      <w:r>
        <w:rPr>
          <w:sz w:val="20"/>
        </w:rPr>
        <w:t>Responsable : Service Desk</w:t>
      </w:r>
    </w:p>
    <w:p>
      <w:r>
        <w:rPr>
          <w:sz w:val="20"/>
        </w:rPr>
        <w:t>Criticitées : MINEUR, MINEUR→MAJEUR</w:t>
      </w:r>
    </w:p>
    <w:p>
      <w:r>
        <w:rPr>
          <w:sz w:val="20"/>
        </w:rPr>
        <w:t>Escalade N+1 si TTR &gt; 60 min ou impact service client.</w:t>
      </w:r>
    </w:p>
    <w:p/>
    <w:p>
      <w:pPr>
        <w:pStyle w:val="Heading1"/>
      </w:pPr>
      <w:r>
        <w:rPr>
          <w:color w:val="1F3864"/>
        </w:rPr>
        <w:t>Section 3 — Description du processus (comment)</w:t>
      </w:r>
    </w:p>
    <w:p>
      <w:r>
        <w:rPr>
          <w:b/>
        </w:rPr>
        <w:t xml:space="preserve">Contexte terrain : </w:t>
      </w:r>
    </w:p>
    <w:p>
      <w:r>
        <w:rPr>
          <w:sz w:val="20"/>
        </w:rPr>
        <w:t>Retour d'expérience: Les alarmede supervision sont majoritairement liés aux pertes de lien OOB (Cogent, switch), aux bascules du Firewall Fortigate et alarmes OSPF auto-cleared sur PHO/ Ribbon. Le TTR moyen : 15–45 min ; (alarmes OSPF typiquement cleared &lt; 30s) (protection switch PHO corrélé).</w:t>
      </w:r>
    </w:p>
    <w:p>
      <w:pPr>
        <w:pStyle w:val="Heading2"/>
      </w:pPr>
      <w:r>
        <w:t>3.1 — Phases d'intervention</w:t>
      </w:r>
    </w:p>
    <w:p>
      <w:pPr>
        <w:pStyle w:val="Heading3"/>
      </w:pPr>
      <w:r>
        <w:t>3.1.1 Phase 1 — Qualification initiale</w:t>
      </w:r>
    </w:p>
    <w:p>
      <w:pPr>
        <w:pStyle w:val="ListNumber"/>
      </w:pPr>
      <w:r>
        <w:rPr>
          <w:sz w:val="20"/>
        </w:rPr>
        <w:t>Acquitter alarmes Lightsoft/Vizee (mail).</w:t>
      </w:r>
    </w:p>
    <w:p>
      <w:pPr>
        <w:pStyle w:val="ListNumber"/>
      </w:pPr>
      <w:r>
        <w:rPr>
          <w:sz w:val="20"/>
        </w:rPr>
        <w:t>Vérifier le planning de maintenance</w:t>
      </w:r>
    </w:p>
    <w:p>
      <w:pPr>
        <w:pStyle w:val="ListNumber"/>
      </w:pPr>
      <w:r>
        <w:rPr>
          <w:sz w:val="20"/>
        </w:rPr>
        <w:t>Consulter Vizee (dash-4uvocd.vizee.io), comparer état NE sur les deux sites.</w:t>
      </w:r>
    </w:p>
    <w:p>
      <w:pPr>
        <w:pStyle w:val="Heading3"/>
      </w:pPr>
      <w:r>
        <w:t>3.1.2 Phase 2 — Diagnostic et actions</w:t>
      </w:r>
    </w:p>
    <w:p>
      <w:pPr>
        <w:pStyle w:val="ListNumber"/>
      </w:pPr>
      <w:r>
        <w:rPr>
          <w:sz w:val="20"/>
        </w:rPr>
        <w:t>Appliquer Vérification OOB &amp; Accès management 10-SOP (diagnostic initial) → 15-SOP Escalade Ribbon si perte STMS.</w:t>
      </w:r>
    </w:p>
    <w:p>
      <w:pPr>
        <w:pStyle w:val="ListNumber"/>
      </w:pPr>
      <w:r>
        <w:rPr>
          <w:sz w:val="20"/>
        </w:rPr>
        <w:t>Si Radius bloqué (A1) : contacter Lugos astreinte — réinitialisation compte.</w:t>
      </w:r>
    </w:p>
    <w:p>
      <w:pPr>
        <w:pStyle w:val="ListNumber"/>
      </w:pPr>
      <w:r>
        <w:rPr>
          <w:sz w:val="20"/>
        </w:rPr>
        <w:t>Vérifier switch OOB actif (THx-SW-01/02).</w:t>
      </w:r>
    </w:p>
    <w:p>
      <w:pPr>
        <w:pStyle w:val="ListNumber"/>
      </w:pPr>
      <w:r>
        <w:rPr>
          <w:sz w:val="20"/>
        </w:rPr>
        <w:t>Vérifier firewall cluster THx-FW-01 / TH3-FW-01 (bascule ?)</w:t>
      </w:r>
    </w:p>
    <w:p>
      <w:pPr>
        <w:pStyle w:val="Heading3"/>
      </w:pPr>
      <w:r>
        <w:t>3.1.3 Phase 3 — Résolution et restoration</w:t>
      </w:r>
    </w:p>
    <w:p>
      <w:pPr>
        <w:pStyle w:val="ListNumber"/>
      </w:pPr>
      <w:r>
        <w:rPr>
          <w:sz w:val="20"/>
        </w:rPr>
        <w:t>Appliquer la SOP identifiée en Etape 2.</w:t>
      </w:r>
    </w:p>
    <w:p>
      <w:pPr>
        <w:pStyle w:val="ListNumber"/>
      </w:pPr>
      <w:r>
        <w:rPr>
          <w:sz w:val="20"/>
        </w:rPr>
        <w:t>Documenter les actions</w:t>
      </w:r>
    </w:p>
    <w:p>
      <w:pPr>
        <w:pStyle w:val="Heading3"/>
      </w:pPr>
      <w:r>
        <w:t>3.1.4 Phase 4 — Clôture et retour à la normale</w:t>
      </w:r>
    </w:p>
    <w:p>
      <w:pPr>
        <w:pStyle w:val="ListNumber"/>
      </w:pPr>
      <w:r>
        <w:rPr>
          <w:sz w:val="20"/>
        </w:rPr>
        <w:t>Confirmer retour à la normale sur Lightsoft et Vizee.</w:t>
      </w:r>
    </w:p>
    <w:p>
      <w:pPr>
        <w:pStyle w:val="ListNumber"/>
      </w:pPr>
      <w:r>
        <w:rPr>
          <w:sz w:val="20"/>
        </w:rPr>
        <w:t>Clôturer le ticket (TTR réel, cause racine, actions correctives).</w:t>
      </w:r>
    </w:p>
    <w:p>
      <w:pPr>
        <w:pStyle w:val="ListNumber"/>
      </w:pPr>
      <w:r>
        <w:rPr>
          <w:sz w:val="20"/>
        </w:rPr>
        <w:t>Si incident récurrent : escalader pour analyse RCA.</w:t>
      </w:r>
    </w:p>
    <w:p/>
    <w:p>
      <w:pPr>
        <w:pStyle w:val="Heading1"/>
      </w:pPr>
      <w:r>
        <w:rPr>
          <w:color w:val="1F3864"/>
        </w:rPr>
        <w:t>Section 4 — Glossaire</w:t>
      </w:r>
    </w:p>
    <w:p>
      <w:r>
        <w:rPr>
          <w:sz w:val="20"/>
        </w:rPr>
        <w:t>OOB : Out Of Band, Réseau externe des NE disponible même si réseau interne indisponible.</w:t>
      </w:r>
    </w:p>
    <w:p>
      <w:r>
        <w:rPr>
          <w:sz w:val="20"/>
        </w:rPr>
        <w:t>NE : Network Element,  équipement optique Ribbon.</w:t>
      </w:r>
    </w:p>
    <w:p>
      <w:r>
        <w:rPr>
          <w:sz w:val="20"/>
        </w:rPr>
        <w:t>LightSoft/EMS : Logiciel de management des equipement Ribbon</w:t>
      </w:r>
    </w:p>
    <w:p>
      <w:r>
        <w:rPr>
          <w:sz w:val="20"/>
        </w:rPr>
        <w:t>Vizee : solution SaaS supervision et centralisation des logs OOB.</w:t>
      </w:r>
    </w:p>
    <w:p>
      <w:r>
        <w:rPr>
          <w:sz w:val="20"/>
        </w:rPr>
        <w:t>OSPF : protocole de routage interne réseau de gestion Ribbon (NN).</w:t>
      </w:r>
    </w:p>
    <w:p>
      <w:r>
        <w:rPr>
          <w:sz w:val="20"/>
        </w:rPr>
        <w:t>GCC : Gateway Control Channel — canal de gestion interne OTN.</w:t>
      </w:r>
    </w:p>
    <w:p>
      <w:r>
        <w:rPr>
          <w:sz w:val="20"/>
        </w:rPr>
        <w:t>Radius : protocole d'authentification réseau (accès LightSoft/Vizee).</w:t>
      </w:r>
    </w:p>
    <w:p>
      <w:r>
        <w:rPr>
          <w:sz w:val="20"/>
        </w:rPr>
        <w:t>STMS : Synchronous Transport Management System.</w:t>
      </w:r>
    </w:p>
    <w:p>
      <w:r>
        <w:rPr>
          <w:sz w:val="20"/>
        </w:rPr>
        <w:t>SFP : Small Form-factor Pluggable — transceiver optique.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134" w:right="1134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6"/>
      </w:rPr>
      <w:t>OPSSD-03.03.M0.20-P  —  CONFIDENTIEL INTERNE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center" w:pos="4680"/>
        <w:tab w:val="right" w:pos="9360"/>
      </w:tabs>
      <w:pBdr>
        <w:bottom w:val="single" w:sz="4" w:space="1" w:color="1F3864"/>
      </w:pBdr>
    </w:pPr>
    <w:r>
      <w:rPr>
        <w:b/>
        <w:color w:val="1F3864"/>
        <w:sz w:val="16"/>
      </w:rPr>
      <w:t>OPSSD-03.03.M0.20-P</w:t>
    </w:r>
    <w:r>
      <w:tab/>
    </w:r>
    <w:r>
      <w:rPr>
        <w:i/>
        <w:sz w:val="16"/>
      </w:rPr>
      <w:t>Perte de Supervision</w:t>
    </w:r>
    <w:r>
      <w:tab/>
    </w:r>
    <w:r>
      <w:rPr>
        <w:color w:val="888888"/>
        <w:sz w:val="16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