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227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p-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2274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1F3864"/>
          <w:sz w:val="32"/>
        </w:rPr>
        <w:t>Dégradation Photonique</w:t>
      </w:r>
    </w:p>
    <w:p>
      <w:pPr>
        <w:jc w:val="center"/>
      </w:pPr>
      <w:r>
        <w:rPr>
          <w:sz w:val="20"/>
        </w:rPr>
        <w:t>Procédure = MOP</w:t>
      </w:r>
    </w:p>
    <w:p>
      <w:pPr>
        <w:jc w:val="center"/>
      </w:pPr>
      <w:r>
        <w:rPr>
          <w:sz w:val="20"/>
        </w:rPr>
        <w:t>OPSSD-03.03.M0.21-P</w:t>
      </w:r>
    </w:p>
    <w:p/>
    <w:p>
      <w:r>
        <w:rPr>
          <w:b/>
          <w:color w:val="1F3864"/>
          <w:sz w:val="18"/>
        </w:rPr>
        <w:t>Carte d'identité du document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  <w:shd w:val="clear" w:color="auto" w:fill="BDD7EE"/>
          </w:tcPr>
          <w:p>
            <w:r/>
            <w:r>
              <w:rPr>
                <w:b/>
                <w:sz w:val="18"/>
              </w:rPr>
              <w:t>Référence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8"/>
              </w:rPr>
              <w:t>OPSSD-03.03.M0.21-P</w:t>
            </w:r>
          </w:p>
        </w:tc>
      </w:tr>
      <w:tr>
        <w:tc>
          <w:tcPr>
            <w:tcW w:type="dxa" w:w="2835"/>
            <w:shd w:val="clear" w:color="auto" w:fill="BDD7EE"/>
          </w:tcPr>
          <w:p>
            <w:r/>
            <w:r>
              <w:rPr>
                <w:b/>
                <w:sz w:val="18"/>
              </w:rPr>
              <w:t>Type de document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8"/>
              </w:rPr>
              <w:t>MOP</w:t>
            </w:r>
          </w:p>
        </w:tc>
      </w:tr>
      <w:tr>
        <w:tc>
          <w:tcPr>
            <w:tcW w:type="dxa" w:w="2835"/>
            <w:shd w:val="clear" w:color="auto" w:fill="BDD7EE"/>
          </w:tcPr>
          <w:p>
            <w:r/>
            <w:r>
              <w:rPr>
                <w:b/>
                <w:sz w:val="18"/>
              </w:rPr>
              <w:t>Niveau de confidentialité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8"/>
              </w:rPr>
              <w:t>Interne</w:t>
            </w:r>
          </w:p>
        </w:tc>
      </w:tr>
      <w:tr>
        <w:tc>
          <w:tcPr>
            <w:tcW w:type="dxa" w:w="2835"/>
            <w:shd w:val="clear" w:color="auto" w:fill="BDD7EE"/>
          </w:tcPr>
          <w:p>
            <w:r/>
            <w:r>
              <w:rPr>
                <w:b/>
                <w:sz w:val="18"/>
              </w:rPr>
              <w:t>Titre du document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8"/>
              </w:rPr>
              <w:t>Dégradation Photonique</w:t>
            </w:r>
          </w:p>
        </w:tc>
      </w:tr>
      <w:tr>
        <w:tc>
          <w:tcPr>
            <w:tcW w:type="dxa" w:w="2835"/>
            <w:shd w:val="clear" w:color="auto" w:fill="BDD7EE"/>
          </w:tcPr>
          <w:p>
            <w:r/>
            <w:r>
              <w:rPr>
                <w:b/>
                <w:sz w:val="18"/>
              </w:rPr>
              <w:t>Résumé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8"/>
              </w:rPr>
              <w:t>Procédure d'intervention sur la dégradations de la couche optique (OLP, OSNR, SFP) sur liaisons OTN.</w:t>
            </w:r>
          </w:p>
        </w:tc>
      </w:tr>
      <w:tr>
        <w:tc>
          <w:tcPr>
            <w:tcW w:type="dxa" w:w="2835"/>
            <w:shd w:val="clear" w:color="auto" w:fill="BDD7EE"/>
          </w:tcPr>
          <w:p>
            <w:r/>
            <w:r>
              <w:rPr>
                <w:b/>
                <w:sz w:val="18"/>
              </w:rPr>
              <w:t>Champ d'application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8"/>
              </w:rPr>
              <w:t>Réseau OTN — NOC Javisi</w:t>
            </w:r>
          </w:p>
        </w:tc>
      </w:tr>
      <w:tr>
        <w:tc>
          <w:tcPr>
            <w:tcW w:type="dxa" w:w="2835"/>
            <w:shd w:val="clear" w:color="auto" w:fill="BDD7EE"/>
          </w:tcPr>
          <w:p>
            <w:r/>
            <w:r>
              <w:rPr>
                <w:b/>
                <w:sz w:val="18"/>
              </w:rPr>
              <w:t>Documents associés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8"/>
              </w:rPr>
              <w:t>Aucun document associé identifié à ce jour.</w:t>
            </w:r>
          </w:p>
        </w:tc>
      </w:tr>
      <w:tr>
        <w:tc>
          <w:tcPr>
            <w:tcW w:type="dxa" w:w="2835"/>
            <w:shd w:val="clear" w:color="auto" w:fill="BDD7EE"/>
          </w:tcPr>
          <w:p>
            <w:r/>
            <w:r>
              <w:rPr>
                <w:b/>
                <w:sz w:val="18"/>
              </w:rPr>
              <w:t>Propriétaire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8"/>
              </w:rPr>
              <w:t>Service Technique</w:t>
            </w:r>
          </w:p>
        </w:tc>
      </w:tr>
      <w:tr>
        <w:tc>
          <w:tcPr>
            <w:tcW w:type="dxa" w:w="2835"/>
            <w:shd w:val="clear" w:color="auto" w:fill="BDD7EE"/>
          </w:tcPr>
          <w:p>
            <w:r/>
            <w:r>
              <w:rPr>
                <w:b/>
                <w:sz w:val="18"/>
              </w:rPr>
              <w:t>Vérificateur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8"/>
              </w:rPr>
              <w:t>Brigitte Gomes</w:t>
            </w:r>
          </w:p>
        </w:tc>
      </w:tr>
      <w:tr>
        <w:tc>
          <w:tcPr>
            <w:tcW w:type="dxa" w:w="2835"/>
            <w:shd w:val="clear" w:color="auto" w:fill="BDD7EE"/>
          </w:tcPr>
          <w:p>
            <w:r/>
            <w:r>
              <w:rPr>
                <w:b/>
                <w:sz w:val="18"/>
              </w:rPr>
              <w:t>Approbateur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8"/>
              </w:rPr>
              <w:t>Service ISO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val="clear" w:color="auto" w:fill="BDD7EE"/>
          </w:tcPr>
          <w:p>
            <w:r/>
            <w:r>
              <w:rPr>
                <w:b/>
                <w:sz w:val="18"/>
              </w:rPr>
              <w:t>Entrée en vigueur</w:t>
            </w:r>
          </w:p>
        </w:tc>
        <w:tc>
          <w:tcPr>
            <w:tcW w:type="dxa" w:w="4677"/>
            <w:shd w:val="clear" w:color="auto" w:fill="BDD7EE"/>
          </w:tcPr>
          <w:p>
            <w:r/>
            <w:r>
              <w:rPr>
                <w:b/>
                <w:sz w:val="18"/>
              </w:rPr>
              <w:t>Révision</w:t>
            </w:r>
          </w:p>
        </w:tc>
      </w:tr>
      <w:tr>
        <w:tc>
          <w:tcPr>
            <w:tcW w:type="dxa" w:w="4677"/>
          </w:tcPr>
          <w:p>
            <w:r/>
            <w:r>
              <w:rPr>
                <w:b w:val="0"/>
                <w:sz w:val="18"/>
              </w:rPr>
              <w:t>01/03/2026</w:t>
            </w:r>
          </w:p>
        </w:tc>
        <w:tc>
          <w:tcPr>
            <w:tcW w:type="dxa" w:w="4677"/>
          </w:tcPr>
          <w:p>
            <w:r/>
            <w:r>
              <w:rPr>
                <w:b w:val="0"/>
                <w:sz w:val="18"/>
              </w:rPr>
              <w:t>01/03/2028</w:t>
            </w:r>
          </w:p>
        </w:tc>
      </w:tr>
    </w:tbl>
    <w:p/>
    <w:p>
      <w:r>
        <w:rPr>
          <w:b/>
          <w:color w:val="1F3864"/>
          <w:sz w:val="20"/>
        </w:rPr>
        <w:t>HISTORIQUE DES RÉVISIONS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Rev.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Préparé par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Vérifié par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Approuvé par</w:t>
            </w:r>
          </w:p>
        </w:tc>
      </w:tr>
      <w:tr>
        <w:tc>
          <w:tcPr>
            <w:tcW w:type="dxa" w:w="1871"/>
          </w:tcPr>
          <w:p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18"/>
              </w:rPr>
              <w:t>01/04/2026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18"/>
              </w:rPr>
              <w:t>Erwin MOMBILI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18"/>
              </w:rPr>
              <w:t>Brigitte GOMES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18"/>
              </w:rPr>
              <w:t>Service ISO</w:t>
            </w:r>
          </w:p>
        </w:tc>
      </w:tr>
    </w:tbl>
    <w:p/>
    <w:p>
      <w:pPr>
        <w:shd w:val="clear" w:color="auto" w:fill="BDD7EE"/>
      </w:pPr>
      <w:r>
        <w:rPr>
          <w:b/>
          <w:sz w:val="18"/>
        </w:rPr>
        <w:t>RÉSUMÉ</w:t>
      </w:r>
    </w:p>
    <w:p>
      <w:r>
        <w:rPr>
          <w:sz w:val="20"/>
        </w:rPr>
        <w:t>Procédure d'intervention sur la dégradations de la couche optique (OLP, OSNR, SFP) sur liaisons OTN.</w:t>
      </w:r>
    </w:p>
    <w:p/>
    <w:p>
      <w:pPr>
        <w:shd w:val="clear" w:color="auto" w:fill="BDD7EE"/>
      </w:pPr>
      <w:r>
        <w:rPr>
          <w:b/>
          <w:sz w:val="18"/>
        </w:rPr>
        <w:t>ÉQUIPEMENTS COUVERTS</w:t>
      </w:r>
    </w:p>
    <w:p>
      <w:r>
        <w:rPr>
          <w:sz w:val="18"/>
        </w:rPr>
        <w:t>Châssis photonique : THx-OP9603-PHO-xx</w:t>
      </w:r>
    </w:p>
    <w:p>
      <w:r>
        <w:rPr>
          <w:sz w:val="18"/>
        </w:rPr>
        <w:t>Liaisons operateurs : 4 fibres G652-D TH3↔TH2 TH3↔LF</w:t>
      </w:r>
    </w:p>
    <w:p>
      <w:r>
        <w:rPr>
          <w:sz w:val="18"/>
        </w:rPr>
        <w:t>Amplificateur : OA_DVLF (OSC)</w:t>
      </w:r>
    </w:p>
    <w:p>
      <w:r>
        <w:rPr>
          <w:sz w:val="18"/>
        </w:rPr>
        <w:t>Protection optique : OLP (Optical Line Protection switch)</w:t>
      </w:r>
    </w:p>
    <w:p/>
    <w:p>
      <w:pPr>
        <w:shd w:val="clear" w:color="auto" w:fill="BDD7EE"/>
      </w:pPr>
      <w:r>
        <w:rPr>
          <w:b/>
          <w:sz w:val="18"/>
        </w:rPr>
        <w:t>CONTACTS D'ESCALADE</w:t>
      </w:r>
    </w:p>
    <w:p>
      <w:r>
        <w:rPr>
          <w:sz w:val="18"/>
        </w:rPr>
        <w:t>Escalade Telehouse N+1</w:t>
      </w:r>
    </w:p>
    <w:p>
      <w:r>
        <w:rPr>
          <w:sz w:val="18"/>
        </w:rPr>
        <w:t>Support Operateur</w:t>
      </w:r>
    </w:p>
    <w:p>
      <w:r>
        <w:rPr>
          <w:sz w:val="18"/>
        </w:rPr>
        <w:t>Support Ribbon</w:t>
      </w:r>
    </w:p>
    <w:p/>
    <w:p>
      <w:r>
        <w:rPr>
          <w:b/>
          <w:color w:val="1F3864"/>
          <w:sz w:val="18"/>
        </w:rPr>
        <w:t>CACHET DE VALIDATION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RÉDIGÉ PAR</w:t>
            </w:r>
          </w:p>
        </w:tc>
        <w:tc>
          <w:tcPr>
            <w:tcW w:type="dxa" w:w="311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VÉRIFIÉ PAR</w:t>
            </w:r>
          </w:p>
        </w:tc>
        <w:tc>
          <w:tcPr>
            <w:tcW w:type="dxa" w:w="311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APPROUVÉ PAR</w:t>
            </w:r>
          </w:p>
        </w:tc>
      </w:tr>
      <w:tr>
        <w:tc>
          <w:tcPr>
            <w:tcW w:type="dxa" w:w="3118"/>
            <w:shd w:val="clear" w:color="auto" w:fill="BDD7EE"/>
          </w:tcPr>
          <w:p>
            <w:r/>
            <w:r>
              <w:rPr>
                <w:b/>
                <w:sz w:val="18"/>
              </w:rPr>
              <w:t>Erwin MOMBILI</w:t>
            </w:r>
          </w:p>
        </w:tc>
        <w:tc>
          <w:tcPr>
            <w:tcW w:type="dxa" w:w="3118"/>
            <w:shd w:val="clear" w:color="auto" w:fill="BDD7EE"/>
          </w:tcPr>
          <w:p>
            <w:r/>
            <w:r>
              <w:rPr>
                <w:b/>
                <w:sz w:val="18"/>
              </w:rPr>
              <w:t>Brigitte GOMES</w:t>
            </w:r>
          </w:p>
        </w:tc>
        <w:tc>
          <w:tcPr>
            <w:tcW w:type="dxa" w:w="3118"/>
            <w:shd w:val="clear" w:color="auto" w:fill="BDD7EE"/>
          </w:tcPr>
          <w:p>
            <w:r/>
            <w:r>
              <w:rPr>
                <w:b/>
                <w:sz w:val="18"/>
              </w:rPr>
              <w:t>Service ISO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01/04/2026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118"/>
          </w:tcPr>
          <w:p>
            <w:pPr>
              <w:spacing w:after="480"/>
            </w:pPr>
            <w:r/>
            <w:r>
              <w:rPr>
                <w:b w:val="0"/>
                <w:sz w:val="16"/>
              </w:rPr>
              <w:t>Signature :</w:t>
            </w:r>
          </w:p>
        </w:tc>
        <w:tc>
          <w:tcPr>
            <w:tcW w:type="dxa" w:w="3118"/>
          </w:tcPr>
          <w:p>
            <w:pPr>
              <w:spacing w:after="480"/>
            </w:pPr>
            <w:r/>
            <w:r>
              <w:rPr>
                <w:b w:val="0"/>
                <w:sz w:val="16"/>
              </w:rPr>
              <w:t>Signature :</w:t>
            </w:r>
          </w:p>
        </w:tc>
        <w:tc>
          <w:tcPr>
            <w:tcW w:type="dxa" w:w="3118"/>
          </w:tcPr>
          <w:p>
            <w:pPr>
              <w:spacing w:after="480"/>
            </w:pPr>
            <w:r/>
            <w:r>
              <w:rPr>
                <w:b w:val="0"/>
                <w:sz w:val="16"/>
              </w:rPr>
              <w:t>Signature :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Section 1 — Objet (quoi / pourquoi)</w:t>
      </w:r>
    </w:p>
    <w:p>
      <w:r>
        <w:rPr>
          <w:sz w:val="20"/>
        </w:rPr>
        <w:t>Symptômes couverts : Alarme LOS sur OSC + ampli; Alarme OLP HS (plus de bascule possible); Alarme SPAN LOSS sur PHO (valeur dB dégradée); LOS/LOF multi-alarmes + absence totale signal.</w:t>
      </w:r>
    </w:p>
    <w:p/>
    <w:p>
      <w:pPr>
        <w:pStyle w:val="Heading1"/>
      </w:pPr>
      <w:r>
        <w:rPr>
          <w:color w:val="1F3864"/>
        </w:rPr>
        <w:t>Section 2 — Rôles et responsabilités (qui)</w:t>
      </w:r>
    </w:p>
    <w:p>
      <w:r>
        <w:rPr>
          <w:sz w:val="20"/>
        </w:rPr>
        <w:t>Responsable : Service Desk</w:t>
      </w:r>
    </w:p>
    <w:p>
      <w:r>
        <w:rPr>
          <w:sz w:val="20"/>
        </w:rPr>
        <w:t>Criticitées : MAJEUR→CRITIQUE, CRITIQUE</w:t>
      </w:r>
    </w:p>
    <w:p>
      <w:r>
        <w:rPr>
          <w:sz w:val="20"/>
        </w:rPr>
        <w:t>Escalade N+1 si TTR &gt; 60 min ou impact service client.</w:t>
      </w:r>
    </w:p>
    <w:p/>
    <w:p>
      <w:pPr>
        <w:pStyle w:val="Heading1"/>
      </w:pPr>
      <w:r>
        <w:rPr>
          <w:color w:val="1F3864"/>
        </w:rPr>
        <w:t>Section 3 — Description du processus (comment)</w:t>
      </w:r>
    </w:p>
    <w:p>
      <w:r>
        <w:rPr>
          <w:b/>
        </w:rPr>
        <w:t xml:space="preserve">Contexte terrain : </w:t>
      </w:r>
    </w:p>
    <w:p>
      <w:r>
        <w:rPr>
          <w:sz w:val="20"/>
        </w:rPr>
        <w:t>Retour d'expérience: Ces dégradations impacte fortement la production et le traffic client. Le TTR moyen : 90min - 1j selon nécessité d'intervention terrain.</w:t>
      </w:r>
    </w:p>
    <w:p>
      <w:pPr>
        <w:pStyle w:val="Heading2"/>
      </w:pPr>
      <w:r>
        <w:t>3.1 — Phases d'intervention</w:t>
      </w:r>
    </w:p>
    <w:p>
      <w:pPr>
        <w:pStyle w:val="Heading3"/>
      </w:pPr>
      <w:r>
        <w:t>3.1.1 Phase 1 — Qualification initiale</w:t>
      </w:r>
    </w:p>
    <w:p>
      <w:pPr>
        <w:pStyle w:val="ListNumber"/>
      </w:pPr>
      <w:r>
        <w:rPr>
          <w:sz w:val="20"/>
        </w:rPr>
        <w:t>Acquitter alarmes Lightsoft/Vizee (mail).</w:t>
      </w:r>
    </w:p>
    <w:p>
      <w:pPr>
        <w:pStyle w:val="ListNumber"/>
      </w:pPr>
      <w:r>
        <w:rPr>
          <w:sz w:val="20"/>
        </w:rPr>
        <w:t>Identifier la liaison affectée (Voie TH2, Voie LF) depuis l'alarme Lightsoft.</w:t>
      </w:r>
    </w:p>
    <w:p>
      <w:pPr>
        <w:pStyle w:val="ListNumber"/>
      </w:pPr>
      <w:r>
        <w:rPr>
          <w:sz w:val="20"/>
        </w:rPr>
        <w:t>Vérifier niveau OLP sur châssis PHO (THx-OP9603-PHO-xx/xx)</w:t>
      </w:r>
    </w:p>
    <w:p>
      <w:pPr>
        <w:pStyle w:val="ListNumber"/>
      </w:pPr>
      <w:r>
        <w:rPr>
          <w:sz w:val="20"/>
        </w:rPr>
        <w:t>Contrôler niveaux optiques entrée/sortie → 11-SOP</w:t>
      </w:r>
    </w:p>
    <w:p>
      <w:pPr>
        <w:pStyle w:val="Heading3"/>
      </w:pPr>
      <w:r>
        <w:t>3.1.2 Phase 2 — Diagnostic et actions</w:t>
      </w:r>
    </w:p>
    <w:p>
      <w:pPr>
        <w:pStyle w:val="ListNumber"/>
      </w:pPr>
      <w:r>
        <w:rPr>
          <w:sz w:val="20"/>
        </w:rPr>
        <w:t>Si alarme LOS : ouvrir un ticket chez l'opérateur → 17-SOP.</w:t>
      </w:r>
    </w:p>
    <w:p>
      <w:pPr>
        <w:pStyle w:val="ListNumber"/>
      </w:pPr>
      <w:r>
        <w:rPr>
          <w:sz w:val="20"/>
        </w:rPr>
        <w:t>Si protection switch OLP déclenché : vérifier fibre active → xx-SOP.</w:t>
      </w:r>
    </w:p>
    <w:p>
      <w:pPr>
        <w:pStyle w:val="ListNumber"/>
      </w:pPr>
      <w:r>
        <w:rPr>
          <w:sz w:val="20"/>
        </w:rPr>
        <w:t>Contrôler niveaux OSNR — seuil nominal sur liaisons TH2/LF↔TH3.</w:t>
      </w:r>
    </w:p>
    <w:p>
      <w:pPr>
        <w:pStyle w:val="ListNumber"/>
      </w:pPr>
      <w:r>
        <w:rPr>
          <w:sz w:val="20"/>
        </w:rPr>
        <w:t>Si dégradation SFP : remplacer transceiver (intervention terrain requise).</w:t>
      </w:r>
    </w:p>
    <w:p>
      <w:pPr>
        <w:pStyle w:val="Heading3"/>
      </w:pPr>
      <w:r>
        <w:t>3.1.3 Phase 3 — Résolution et restoration</w:t>
      </w:r>
    </w:p>
    <w:p>
      <w:pPr>
        <w:pStyle w:val="ListNumber"/>
      </w:pPr>
      <w:r>
        <w:rPr>
          <w:sz w:val="20"/>
        </w:rPr>
        <w:t>Appliquer la SOP identifiée en Etape 2.</w:t>
      </w:r>
    </w:p>
    <w:p>
      <w:pPr>
        <w:pStyle w:val="ListNumber"/>
      </w:pPr>
      <w:r>
        <w:rPr>
          <w:sz w:val="20"/>
        </w:rPr>
        <w:t>Si échange matériel : contacter astreinte + demande de ticket RMA</w:t>
      </w:r>
    </w:p>
    <w:p>
      <w:pPr>
        <w:pStyle w:val="ListNumber"/>
      </w:pPr>
      <w:r>
        <w:rPr>
          <w:sz w:val="20"/>
        </w:rPr>
        <w:t>Documenter les actions</w:t>
      </w:r>
    </w:p>
    <w:p>
      <w:pPr>
        <w:pStyle w:val="ListNumber"/>
      </w:pPr>
      <w:r>
        <w:rPr>
          <w:sz w:val="20"/>
        </w:rPr>
        <w:t>Vérifier reprise supervision Lightsoft/Vizee.</w:t>
      </w:r>
    </w:p>
    <w:p>
      <w:pPr>
        <w:pStyle w:val="Heading3"/>
      </w:pPr>
      <w:r>
        <w:t>3.1.4 Phase 4 — Clôture et retour à la normale</w:t>
      </w:r>
    </w:p>
    <w:p>
      <w:pPr>
        <w:pStyle w:val="ListNumber"/>
      </w:pPr>
      <w:r>
        <w:rPr>
          <w:sz w:val="20"/>
        </w:rPr>
        <w:t>Confirmer retour à la normale sur Lightsoft et Vizee.</w:t>
      </w:r>
    </w:p>
    <w:p>
      <w:pPr>
        <w:pStyle w:val="ListNumber"/>
      </w:pPr>
      <w:r>
        <w:rPr>
          <w:sz w:val="20"/>
        </w:rPr>
        <w:t>Clôturer ticket (TTR réel, cause racine, actions correctives).</w:t>
      </w:r>
    </w:p>
    <w:p/>
    <w:p>
      <w:pPr>
        <w:pStyle w:val="Heading1"/>
      </w:pPr>
      <w:r>
        <w:rPr>
          <w:color w:val="1F3864"/>
        </w:rPr>
        <w:t>Section 4 — Glossaire</w:t>
      </w:r>
    </w:p>
    <w:p>
      <w:r>
        <w:rPr>
          <w:sz w:val="20"/>
        </w:rPr>
        <w:t>OLP : Optical Line Protection, switch de protection ligne optique.</w:t>
      </w:r>
    </w:p>
    <w:p>
      <w:r>
        <w:rPr>
          <w:sz w:val="20"/>
        </w:rPr>
        <w:t>OSNR : Optical Signal-to-Noise Ratio, rapport signal/bruit optique.</w:t>
      </w:r>
    </w:p>
    <w:p>
      <w:r>
        <w:rPr>
          <w:sz w:val="20"/>
        </w:rPr>
        <w:t>OA_DVLF : amplificateur bi-directionnel avec canal.</w:t>
      </w:r>
    </w:p>
    <w:p>
      <w:r>
        <w:rPr>
          <w:sz w:val="20"/>
        </w:rPr>
        <w:t>OSC : Optical Supervision Channel, canal de supervision hors bande.</w:t>
      </w:r>
    </w:p>
    <w:p>
      <w:r>
        <w:rPr>
          <w:sz w:val="20"/>
        </w:rPr>
        <w:t>DWDM : Dense Wavelength Division Multiplexing, multiplexage en longueur d'onde.</w:t>
      </w:r>
    </w:p>
    <w:p>
      <w:r>
        <w:rPr>
          <w:sz w:val="20"/>
        </w:rPr>
        <w:t>G652-D : fibre monomode standard (SM), 1310/1550nm.</w:t>
      </w:r>
    </w:p>
    <w:p>
      <w:r>
        <w:rPr>
          <w:sz w:val="20"/>
        </w:rPr>
        <w:t>SFP : Small Form-factor Pluggable — transceiver optique.</w:t>
      </w:r>
    </w:p>
    <w:p>
      <w:r>
        <w:rPr>
          <w:sz w:val="20"/>
        </w:rPr>
        <w:t>EDFA : Erbium-Doped Fiber Amplifier — amplificateur à fibre dopée erbium.</w:t>
      </w:r>
    </w:p>
    <w:sectPr w:rsidR="00FC693F" w:rsidRPr="0006063C" w:rsidSect="00034616">
      <w:headerReference w:type="default" r:id="rId10"/>
      <w:footerReference w:type="default" r:id="rId11"/>
      <w:pgSz w:w="11906" w:h="16838"/>
      <w:pgMar w:top="1134" w:right="1134" w:bottom="1134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6"/>
      </w:rPr>
      <w:t>OPSSD-03.03.M0.21-P  —  CONFIDENTIEL INTERNE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val="center" w:pos="4680"/>
        <w:tab w:val="right" w:pos="9360"/>
      </w:tabs>
      <w:pBdr>
        <w:bottom w:val="single" w:sz="4" w:space="1" w:color="1F3864"/>
      </w:pBdr>
    </w:pPr>
    <w:r>
      <w:rPr>
        <w:b/>
        <w:color w:val="1F3864"/>
        <w:sz w:val="16"/>
      </w:rPr>
      <w:t>OPSSD-03.03.M0.21-P</w:t>
    </w:r>
    <w:r>
      <w:tab/>
    </w:r>
    <w:r>
      <w:rPr>
        <w:i/>
        <w:sz w:val="16"/>
      </w:rPr>
      <w:t>Dégradation Photonique</w:t>
    </w:r>
    <w:r>
      <w:tab/>
    </w:r>
    <w:r>
      <w:rPr>
        <w:color w:val="888888"/>
        <w:sz w:val="16"/>
      </w:rPr>
      <w:fldChar w:fldCharType="begin"/>
      <w:instrText xml:space="preserve"> PAGE 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