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GPT from Scratch &amp; Tokenization: Study Notes</w:t>
      </w:r>
    </w:p>
    <w:p>
      <w:pPr/>
      <w:r>
        <w:t xml:space="preserve">Oct 18, 2026</w:t>
      </w:r>
      <w:r>
        <w:t xml:space="preserve">  </w:t>
      </w:r>
    </w:p>
    <w:p>
      <w:pPr>
        <w:pStyle w:val="Heading2"/>
      </w:pPr>
      <w:r>
        <w:t xml:space="preserve">Part 1: Tokenization</w:t>
      </w:r>
    </w:p>
    <w:p>
      <w:pPr>
        <w:pStyle w:val="Heading3"/>
      </w:pPr>
      <w:r>
        <w:t xml:space="preserve">What tokenization is</w:t>
      </w:r>
    </w:p>
    <w:p>
      <w:pPr/>
      <w:r>
        <w:t xml:space="preserve">Tokenization converts raw text (a string) into a sequence of tokens (integers) that a language model can take as input. It is how we take strings and feed them into language models.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Encoder:</w:t>
      </w:r>
      <w:r>
        <w:t xml:space="preserve"> text → list of integers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Decoder:</w:t>
      </w:r>
      <w:r>
        <w:t xml:space="preserve"> list of integers → text</w:t>
      </w:r>
    </w:p>
    <w:p>
      <w:pPr/>
      <w:r>
        <w:t xml:space="preserve">Popular tokenizer libraries: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SentencePiece</w:t>
      </w:r>
      <w:r>
        <w:t xml:space="preserve"> (Google)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tiktoken</w:t>
      </w:r>
      <w:r>
        <w:t xml:space="preserve"> (OpenAI)</w:t>
      </w:r>
    </w:p>
    <w:p>
      <w:pPr/>
      <w:r>
        <w:t xml:space="preserve">Whichever you use, the pattern is the same: an </w:t>
      </w:r>
      <w:r>
        <w:rPr>
          <w:rStyle w:val="CodeChar"/>
        </w:rPr>
        <w:t xml:space="preserve">encode()</w:t>
      </w:r>
      <w:r>
        <w:t xml:space="preserve"> function and a </w:t>
      </w:r>
      <w:r>
        <w:rPr>
          <w:rStyle w:val="CodeChar"/>
        </w:rPr>
        <w:t xml:space="preserve">decode()</w:t>
      </w:r>
      <w:r>
        <w:t xml:space="preserve"> function.</w:t>
      </w:r>
    </w:p>
    <w:p>
      <w:pPr>
        <w:pStyle w:val="Heading3"/>
      </w:pPr>
      <w:r>
        <w:t xml:space="preserve">Strings, Unicode and byte encodings</w:t>
      </w:r>
    </w:p>
    <w:p>
      <w:pPr/>
      <w:r>
        <w:t xml:space="preserve">In Python, strings are immutable sequences of </w:t>
      </w:r>
      <w:r>
        <w:rPr>
          <w:b/>
        </w:rPr>
        <w:t xml:space="preserve">Unicode code points</w:t>
      </w:r>
      <w:r>
        <w:t xml:space="preserve">. Unicode defines roughly 150,000 characters across all the world's scripts, plus emoji and symbols. </w:t>
      </w:r>
      <w:r>
        <w:rPr>
          <w:rStyle w:val="CodeChar"/>
        </w:rPr>
        <w:t xml:space="preserve">ord('a')</w:t>
      </w:r>
      <w:r>
        <w:t xml:space="preserve"> gives a character's code point (97).</w:t>
      </w:r>
    </w:p>
    <w:p>
      <w:pPr/>
      <w:r>
        <w:t xml:space="preserve">Unicode text can be stored as bytes using one of three encodings: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7"/>
        <w:gridCol w:w="2524"/>
        <w:gridCol w:w="5507"/>
      </w:tblGrid>
      <w:tr>
        <w:trPr>
          <w:tblHeader/>
        </w:trPr>
        <w:tc>
          <w:tcPr>
            <w:tcW w:w="1327" w:type="dxa"/>
            <w:shd w:val="clear" w:color="auto" w:fill="F2F2F2"/>
          </w:tcPr>
          <w:p>
            <w:pPr/>
            <w:r>
              <w:t xml:space="preserve">Encoding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Bytes per character</w:t>
            </w:r>
          </w:p>
        </w:tc>
        <w:tc>
          <w:tcPr>
            <w:tcW w:w="550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UTF-8</w:t>
            </w:r>
          </w:p>
        </w:tc>
        <w:tc>
          <w:tcPr>
            <w:tcW w:w="2524" w:type="dxa"/>
          </w:tcPr>
          <w:p>
            <w:pPr/>
            <w:r>
              <w:t xml:space="preserve">1–4 (variable)</w:t>
            </w:r>
          </w:p>
        </w:tc>
        <w:tc>
          <w:tcPr>
            <w:tcW w:w="5507" w:type="dxa"/>
          </w:tcPr>
          <w:p>
            <w:pPr/>
            <w:r>
              <w:t xml:space="preserve">Most common on the web; ASCII characters take 1 byte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UTF-16</w:t>
            </w:r>
          </w:p>
        </w:tc>
        <w:tc>
          <w:tcPr>
            <w:tcW w:w="2524" w:type="dxa"/>
          </w:tcPr>
          <w:p>
            <w:pPr/>
            <w:r>
              <w:t xml:space="preserve">2 or 4</w:t>
            </w:r>
          </w:p>
        </w:tc>
        <w:tc>
          <w:tcPr>
            <w:tcW w:w="5507" w:type="dxa"/>
          </w:tcPr>
          <w:p>
            <w:pPr/>
            <w:r>
              <w:t xml:space="preserve">Wastes space on simple English text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UTF-32</w:t>
            </w:r>
          </w:p>
        </w:tc>
        <w:tc>
          <w:tcPr>
            <w:tcW w:w="2524" w:type="dxa"/>
          </w:tcPr>
          <w:p>
            <w:pPr/>
            <w:r>
              <w:t xml:space="preserve">Always 4</w:t>
            </w:r>
          </w:p>
        </w:tc>
        <w:tc>
          <w:tcPr>
            <w:tcW w:w="5507" w:type="dxa"/>
          </w:tcPr>
          <w:p>
            <w:pPr/>
            <w:r>
              <w:t xml:space="preserve">Fixed width, simple but very wasteful</w:t>
            </w:r>
          </w:p>
        </w:tc>
      </w:tr>
    </w:tbl>
    <w:p>
      <w:pPr/>
      <w:r>
        <w:t xml:space="preserve">The GPT tokenizer works at the </w:t>
      </w:r>
      <w:r>
        <w:rPr>
          <w:b/>
        </w:rPr>
        <w:t xml:space="preserve">byte level</w:t>
      </w:r>
      <w:r>
        <w:t xml:space="preserve">: it encodes text as UTF-8 bytes first, then compresses those bytes into tokens. This means any text can be tokenized, with no "unknown character" problem.</w:t>
      </w:r>
    </w:p>
    <w:p>
      <w:pPr>
        <w:pStyle w:val="Heading3"/>
      </w:pPr>
      <w:r>
        <w:t xml:space="preserve">Byte Pair Encoding (BPE)</w:t>
      </w:r>
    </w:p>
    <w:p>
      <w:pPr/>
      <w:r>
        <w:t xml:space="preserve">BPE repeatedly finds the </w:t>
      </w:r>
      <w:r>
        <w:rPr>
          <w:b/>
        </w:rPr>
        <w:t xml:space="preserve">most common pair</w:t>
      </w:r>
      <w:r>
        <w:t xml:space="preserve"> of adjacent symbols and replaces it with a new symbol. Each merge shortens the sequence and adds one entry to the vocabulary.</w:t>
      </w:r>
    </w:p>
    <w:p>
      <w:pPr/>
      <w:r>
        <w:t xml:space="preserve">Worked example, starting string </w:t>
      </w:r>
      <w:r>
        <w:rPr>
          <w:rStyle w:val="CodeChar"/>
        </w:rPr>
        <w:t xml:space="preserve">aaabdaaabac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6"/>
        <w:gridCol w:w="2949"/>
        <w:gridCol w:w="2087"/>
        <w:gridCol w:w="3355"/>
      </w:tblGrid>
      <w:tr>
        <w:trPr>
          <w:tblHeader/>
        </w:trPr>
        <w:tc>
          <w:tcPr>
            <w:tcW w:w="966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949" w:type="dxa"/>
            <w:shd w:val="clear" w:color="auto" w:fill="F2F2F2"/>
          </w:tcPr>
          <w:p>
            <w:pPr/>
            <w:r>
              <w:t xml:space="preserve">Most common pair</w:t>
            </w:r>
          </w:p>
        </w:tc>
        <w:tc>
          <w:tcPr>
            <w:tcW w:w="2087" w:type="dxa"/>
            <w:shd w:val="clear" w:color="auto" w:fill="F2F2F2"/>
          </w:tcPr>
          <w:p>
            <w:pPr/>
            <w:r>
              <w:t xml:space="preserve">New symbol</w:t>
            </w:r>
          </w:p>
        </w:tc>
        <w:tc>
          <w:tcPr>
            <w:tcW w:w="3355" w:type="dxa"/>
            <w:shd w:val="clear" w:color="auto" w:fill="F2F2F2"/>
          </w:tcPr>
          <w:p>
            <w:pPr/>
            <w:r>
              <w:t xml:space="preserve">Sequence after merge</w:t>
            </w:r>
          </w:p>
        </w:tc>
      </w:tr>
      <w:tr>
        <w:tc>
          <w:tcPr>
            <w:tcW w:w="966" w:type="dxa"/>
          </w:tcPr>
          <w:p>
            <w:pPr/>
            <w:r>
              <w:t xml:space="preserve">0</w:t>
            </w:r>
          </w:p>
        </w:tc>
        <w:tc>
          <w:tcPr>
            <w:tcW w:w="2949" w:type="dxa"/>
          </w:tcPr>
          <w:p>
            <w:pPr/>
            <w:r>
              <w:t xml:space="preserve">None</w:t>
            </w:r>
          </w:p>
        </w:tc>
        <w:tc>
          <w:tcPr>
            <w:tcW w:w="2087" w:type="dxa"/>
          </w:tcPr>
          <w:p>
            <w:pPr/>
            <w:r>
              <w:t xml:space="preserve">None</w:t>
            </w:r>
          </w:p>
        </w:tc>
        <w:tc>
          <w:tcPr>
            <w:tcW w:w="3355" w:type="dxa"/>
          </w:tcPr>
          <w:p>
            <w:pPr/>
            <w:r>
              <w:rPr>
                <w:rStyle w:val="CodeChar"/>
              </w:rPr>
              <w:t xml:space="preserve">aaabdaaabac</w:t>
            </w:r>
          </w:p>
        </w:tc>
      </w:tr>
      <w:tr>
        <w:tc>
          <w:tcPr>
            <w:tcW w:w="966" w:type="dxa"/>
          </w:tcPr>
          <w:p>
            <w:pPr/>
            <w:r>
              <w:t xml:space="preserve">1</w:t>
            </w:r>
          </w:p>
        </w:tc>
        <w:tc>
          <w:tcPr>
            <w:tcW w:w="2949" w:type="dxa"/>
          </w:tcPr>
          <w:p>
            <w:pPr/>
            <w:r>
              <w:rPr>
                <w:rStyle w:val="CodeChar"/>
              </w:rPr>
              <w:t xml:space="preserve">aa</w:t>
            </w:r>
          </w:p>
        </w:tc>
        <w:tc>
          <w:tcPr>
            <w:tcW w:w="2087" w:type="dxa"/>
          </w:tcPr>
          <w:p>
            <w:pPr/>
            <w:r>
              <w:t xml:space="preserve">Z = aa</w:t>
            </w:r>
          </w:p>
        </w:tc>
        <w:tc>
          <w:tcPr>
            <w:tcW w:w="3355" w:type="dxa"/>
          </w:tcPr>
          <w:p>
            <w:pPr/>
            <w:r>
              <w:rPr>
                <w:rStyle w:val="CodeChar"/>
              </w:rPr>
              <w:t xml:space="preserve">ZabdZabac</w:t>
            </w:r>
          </w:p>
        </w:tc>
      </w:tr>
      <w:tr>
        <w:tc>
          <w:tcPr>
            <w:tcW w:w="966" w:type="dxa"/>
          </w:tcPr>
          <w:p>
            <w:pPr/>
            <w:r>
              <w:t xml:space="preserve">2</w:t>
            </w:r>
          </w:p>
        </w:tc>
        <w:tc>
          <w:tcPr>
            <w:tcW w:w="2949" w:type="dxa"/>
          </w:tcPr>
          <w:p>
            <w:pPr/>
            <w:r>
              <w:rPr>
                <w:rStyle w:val="CodeChar"/>
              </w:rPr>
              <w:t xml:space="preserve">ab</w:t>
            </w:r>
          </w:p>
        </w:tc>
        <w:tc>
          <w:tcPr>
            <w:tcW w:w="2087" w:type="dxa"/>
          </w:tcPr>
          <w:p>
            <w:pPr/>
            <w:r>
              <w:t xml:space="preserve">Y = ab</w:t>
            </w:r>
          </w:p>
        </w:tc>
        <w:tc>
          <w:tcPr>
            <w:tcW w:w="3355" w:type="dxa"/>
          </w:tcPr>
          <w:p>
            <w:pPr/>
            <w:r>
              <w:rPr>
                <w:rStyle w:val="CodeChar"/>
              </w:rPr>
              <w:t xml:space="preserve">ZYdZYac</w:t>
            </w:r>
          </w:p>
        </w:tc>
      </w:tr>
      <w:tr>
        <w:tc>
          <w:tcPr>
            <w:tcW w:w="966" w:type="dxa"/>
          </w:tcPr>
          <w:p>
            <w:pPr/>
            <w:r>
              <w:t xml:space="preserve">3</w:t>
            </w:r>
          </w:p>
        </w:tc>
        <w:tc>
          <w:tcPr>
            <w:tcW w:w="2949" w:type="dxa"/>
          </w:tcPr>
          <w:p>
            <w:pPr/>
            <w:r>
              <w:rPr>
                <w:rStyle w:val="CodeChar"/>
              </w:rPr>
              <w:t xml:space="preserve">ZY</w:t>
            </w:r>
          </w:p>
        </w:tc>
        <w:tc>
          <w:tcPr>
            <w:tcW w:w="2087" w:type="dxa"/>
          </w:tcPr>
          <w:p>
            <w:pPr/>
            <w:r>
              <w:t xml:space="preserve">X = ZY</w:t>
            </w:r>
          </w:p>
        </w:tc>
        <w:tc>
          <w:tcPr>
            <w:tcW w:w="3355" w:type="dxa"/>
          </w:tcPr>
          <w:p>
            <w:pPr/>
            <w:r>
              <w:rPr>
                <w:rStyle w:val="CodeChar"/>
              </w:rPr>
              <w:t xml:space="preserve">XdXac</w:t>
            </w:r>
          </w:p>
        </w:tc>
      </w:tr>
    </w:tbl>
    <w:p>
      <w:pPr/>
      <w:r>
        <w:t xml:space="preserve">The sequence shrank from 11 symbols to 5, and the vocabulary grew by 3 (Z, Y, X). Real tokenizers do this on UTF-8 bytes, starting from 256 byte values and running thousands of merges.</w:t>
      </w:r>
    </w:p>
    <w:p>
      <w:pPr>
        <w:pStyle w:val="Heading3"/>
      </w:pPr>
      <w:r>
        <w:t xml:space="preserve">The tokenizer is a separate module</w:t>
      </w:r>
    </w:p>
    <w:p>
      <w:pPr/>
      <w:r>
        <w:t xml:space="preserve">The tokenizer is trained and run independently of the LLM. It sits between raw text and the model:</w:t>
      </w:r>
    </w:p>
    <w:p>
      <w:pPr>
        <w:pStyle w:val="Code"/>
      </w:pPr>
      <w:r>
        <w:t xml:space="preserve">Raw text (sequence of Unicode code points)</w:t>
        <w:br/>
        <w:t xml:space="preserve">        ↕  encode / decode</w:t>
        <w:br/>
        <w:t xml:space="preserve">   Tokenizer</w:t>
        <w:br/>
        <w:t xml:space="preserve">        ↕</w:t>
        <w:br/>
        <w:t xml:space="preserve"> Token sequence (integers)</w:t>
        <w:br/>
        <w:t xml:space="preserve">        ↕</w:t>
        <w:br/>
        <w:t xml:space="preserve">      LLM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Encode</w:t>
      </w:r>
      <w:r>
        <w:t xml:space="preserve"> goes down the stack (text → tokens); </w:t>
      </w:r>
      <w:r>
        <w:rPr>
          <w:b/>
        </w:rPr>
        <w:t xml:space="preserve">decode</w:t>
      </w:r>
      <w:r>
        <w:t xml:space="preserve"> goes up (tokens → text).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Regex</w:t>
      </w:r>
      <w:r>
        <w:t xml:space="preserve"> (regular expressions, </w:t>
      </w:r>
      <w:r>
        <w:rPr>
          <w:rStyle w:val="CodeChar"/>
        </w:rPr>
        <w:t xml:space="preserve">import re</w:t>
      </w:r>
      <w:r>
        <w:t xml:space="preserve"> in Python) is used to pre-split text into chunks before BPE, e.g. separating words, numbers, punctuation and whitespace. This controls whitespace handling and stops merges across word boundaries.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tiktoken</w:t>
      </w:r>
      <w:r>
        <w:t xml:space="preserve"> is OpenAI's official tokenization library: a fast BPE tokenizer for use with OpenAI models (e.g. </w:t>
      </w:r>
      <w:r>
        <w:rPr>
          <w:rStyle w:val="CodeChar"/>
        </w:rPr>
        <w:t xml:space="preserve">tiktoken.get_encoding("cl100k_base")</w:t>
      </w:r>
      <w:r>
        <w:t xml:space="preserve">).</w:t>
      </w:r>
    </w:p>
    <w:p>
      <w:pPr>
        <w:pStyle w:val="Heading2"/>
      </w:pPr>
      <w:r>
        <w:t xml:space="preserve">Part 2: Building GPT from scratch</w:t>
      </w:r>
    </w:p>
    <w:p>
      <w:pPr/>
      <w:r>
        <w:rPr>
          <w:b/>
        </w:rPr>
        <w:t xml:space="preserve">The goal:</w:t>
      </w:r>
      <w:r>
        <w:t xml:space="preserve"> given a sequence of characters, the model outputs a probability distribution over which character comes next.</w:t>
      </w:r>
    </w:p>
    <w:p>
      <w:pPr>
        <w:pStyle w:val="Heading3"/>
      </w:pPr>
      <w:r>
        <w:t xml:space="preserve">Step 1: Vocabulary: turning text into numbers (lines 26–38)</w:t>
      </w:r>
    </w:p>
    <w:p>
      <w:pPr/>
      <w:r>
        <w:t xml:space="preserve">This is a simple character-level tokenizer: each character becomes an integer.</w:t>
      </w:r>
    </w:p>
    <w:p>
      <w:pPr>
        <w:pStyle w:val="Code"/>
      </w:pPr>
      <w:bookmarkStart w:id="1" w:name="bongo_lang_python_1"/>
      <w:bookmarkEnd w:id="1"/>
      <w:r>
        <w:t xml:space="preserve">chars = sorted(list(set(text)))   # every unique character in the dataset</w:t>
        <w:br/>
        <w:t xml:space="preserve">vocab_size = len(chars)</w:t>
        <w:br/>
        <w:br/>
        <w:t xml:space="preserve">stoi = {ch: i for i, ch in enumerate(chars)}   # string → integer</w:t>
        <w:br/>
        <w:t xml:space="preserve">itos = {i: ch for i, ch in enumerate(chars)}   # integer → string</w:t>
        <w:br/>
        <w:br/>
        <w:t xml:space="preserve">encode = lambda s: [stoi[c] for c in s]</w:t>
        <w:br/>
        <w:t xml:space="preserve">decode = lambda l: ''.join(itos[i] for i in l)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Line 26, </w:t>
      </w:r>
      <w:r>
        <w:rPr>
          <w:rStyle w:val="CodeChar"/>
          <w:b/>
        </w:rPr>
        <w:t xml:space="preserve">chars</w:t>
      </w:r>
      <w:r>
        <w:rPr>
          <w:b/>
        </w:rPr>
        <w:t xml:space="preserve">:</w:t>
      </w:r>
      <w:r>
        <w:t xml:space="preserve"> finds every unique character (letters, punctuation, newline).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Lines 29–32, </w:t>
      </w:r>
      <w:r>
        <w:rPr>
          <w:rStyle w:val="CodeChar"/>
          <w:b/>
        </w:rPr>
        <w:t xml:space="preserve">stoi</w:t>
      </w:r>
      <w:r>
        <w:rPr>
          <w:b/>
        </w:rPr>
        <w:t xml:space="preserve"> / </w:t>
      </w:r>
      <w:r>
        <w:rPr>
          <w:rStyle w:val="CodeChar"/>
          <w:b/>
        </w:rPr>
        <w:t xml:space="preserve">itos</w:t>
      </w:r>
      <w:r>
        <w:rPr>
          <w:b/>
        </w:rPr>
        <w:t xml:space="preserve">:</w:t>
      </w:r>
      <w:r>
        <w:t xml:space="preserve"> lookup tables used to encode and decode.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Lines 35–38, train / validation split:</w:t>
      </w:r>
      <w:r>
        <w:t xml:space="preserve"> the encoded data is split (typically 90% train, 10% validation) so we can check the model on text it hasn't trained on.</w:t>
      </w:r>
    </w:p>
    <w:p>
      <w:pPr>
        <w:pStyle w:val="Heading3"/>
      </w:pPr>
      <w:r>
        <w:t xml:space="preserve">Step 2: Feeding the model: batches and context (lines 41–63)</w:t>
      </w:r>
    </w:p>
    <w:p>
      <w:pPr/>
      <w:r>
        <w:t xml:space="preserve">We never feed the whole dataset at once. We train on random chunks, controlled by hyperparameters: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block_size</w:t>
      </w:r>
      <w:r>
        <w:rPr>
          <w:b/>
        </w:rPr>
        <w:t xml:space="preserve"> (context length):</w:t>
      </w:r>
      <w:r>
        <w:t xml:space="preserve"> the maximum number of tokens the model looks at to make a prediction. One chunk of </w:t>
      </w:r>
      <w:r>
        <w:rPr>
          <w:rStyle w:val="CodeChar"/>
        </w:rPr>
        <w:t xml:space="preserve">block_size</w:t>
      </w:r>
      <w:r>
        <w:t xml:space="preserve"> tokens actually holds </w:t>
      </w:r>
      <w:r>
        <w:rPr>
          <w:rStyle w:val="CodeChar"/>
        </w:rPr>
        <w:t xml:space="preserve">block_size</w:t>
      </w:r>
      <w:r>
        <w:t xml:space="preserve"> training examples (predict token 2 from 1, token 3 from 1–2, and so on).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batch_size</w:t>
      </w:r>
      <w:r>
        <w:rPr>
          <w:b/>
        </w:rPr>
        <w:t xml:space="preserve">:</w:t>
      </w:r>
      <w:r>
        <w:t xml:space="preserve"> how many independent chunks we process in parallel (e.g. 64 chunks of 256 characters each).</w:t>
      </w:r>
    </w:p>
    <w:p>
      <w:pPr/>
      <w:r>
        <w:rPr>
          <w:b/>
        </w:rPr>
        <w:t xml:space="preserve">Shape notation used throughout: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1"/>
        <w:gridCol w:w="6633"/>
        <w:gridCol w:w="1554"/>
      </w:tblGrid>
      <w:tr>
        <w:trPr>
          <w:tblHeader/>
        </w:trPr>
        <w:tc>
          <w:tcPr>
            <w:tcW w:w="1171" w:type="dxa"/>
            <w:shd w:val="clear" w:color="auto" w:fill="F2F2F2"/>
          </w:tcPr>
          <w:p>
            <w:pPr/>
            <w:r>
              <w:t xml:space="preserve">Letter</w:t>
            </w:r>
          </w:p>
        </w:tc>
        <w:tc>
          <w:tcPr>
            <w:tcW w:w="6633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1554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1171" w:type="dxa"/>
          </w:tcPr>
          <w:p>
            <w:pPr/>
            <w:r>
              <w:t xml:space="preserve">B</w:t>
            </w:r>
          </w:p>
        </w:tc>
        <w:tc>
          <w:tcPr>
            <w:tcW w:w="6633" w:type="dxa"/>
          </w:tcPr>
          <w:p>
            <w:pPr/>
            <w:r>
              <w:t xml:space="preserve">Batch size: how many sequences</w:t>
            </w:r>
          </w:p>
        </w:tc>
        <w:tc>
          <w:tcPr>
            <w:tcW w:w="1554" w:type="dxa"/>
          </w:tcPr>
          <w:p>
            <w:pPr/>
            <w:r>
              <w:t xml:space="preserve">64</w:t>
            </w:r>
          </w:p>
        </w:tc>
      </w:tr>
      <w:tr>
        <w:tc>
          <w:tcPr>
            <w:tcW w:w="1171" w:type="dxa"/>
          </w:tcPr>
          <w:p>
            <w:pPr/>
            <w:r>
              <w:t xml:space="preserve">T</w:t>
            </w:r>
          </w:p>
        </w:tc>
        <w:tc>
          <w:tcPr>
            <w:tcW w:w="6633" w:type="dxa"/>
          </w:tcPr>
          <w:p>
            <w:pPr/>
            <w:r>
              <w:t xml:space="preserve">Time: positions in each sequence (≤ block_size)</w:t>
            </w:r>
          </w:p>
        </w:tc>
        <w:tc>
          <w:tcPr>
            <w:tcW w:w="1554" w:type="dxa"/>
          </w:tcPr>
          <w:p>
            <w:pPr/>
            <w:r>
              <w:t xml:space="preserve">256</w:t>
            </w:r>
          </w:p>
        </w:tc>
      </w:tr>
      <w:tr>
        <w:tc>
          <w:tcPr>
            <w:tcW w:w="1171" w:type="dxa"/>
          </w:tcPr>
          <w:p>
            <w:pPr/>
            <w:r>
              <w:t xml:space="preserve">C</w:t>
            </w:r>
          </w:p>
        </w:tc>
        <w:tc>
          <w:tcPr>
            <w:tcW w:w="6633" w:type="dxa"/>
          </w:tcPr>
          <w:p>
            <w:pPr/>
            <w:r>
              <w:t xml:space="preserve">Channels: size of each token's vector (n_embd)</w:t>
            </w:r>
          </w:p>
        </w:tc>
        <w:tc>
          <w:tcPr>
            <w:tcW w:w="1554" w:type="dxa"/>
          </w:tcPr>
          <w:p>
            <w:pPr/>
            <w:r>
              <w:t xml:space="preserve">384</w:t>
            </w:r>
          </w:p>
        </w:tc>
      </w:tr>
    </w:tbl>
    <w:p>
      <w:pPr/>
      <w:r>
        <w:t xml:space="preserve">A batch of embedded tokens therefore has shape </w:t>
      </w:r>
      <w:r>
        <w:rPr>
          <w:b/>
        </w:rPr>
        <w:t xml:space="preserve">(B, T, C)</w:t>
      </w:r>
      <w:r>
        <w:t xml:space="preserve">.</w:t>
      </w:r>
    </w:p>
    <w:p>
      <w:pPr>
        <w:pStyle w:val="Heading3"/>
      </w:pPr>
      <w:r>
        <w:t xml:space="preserve">Step 3: Token and position embeddings</w:t>
      </w:r>
    </w:p>
    <w:p>
      <w:pPr/>
      <w:r>
        <w:t xml:space="preserve">Before attention, each token needs a vector that says </w:t>
      </w:r>
      <w:r>
        <w:rPr>
          <w:i/>
        </w:rPr>
        <w:t xml:space="preserve">what</w:t>
      </w:r>
      <w:r>
        <w:t xml:space="preserve"> it is and </w:t>
      </w:r>
      <w:r>
        <w:rPr>
          <w:i/>
        </w:rPr>
        <w:t xml:space="preserve">where</w:t>
      </w:r>
      <w:r>
        <w:t xml:space="preserve"> it is.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Token embedding:</w:t>
      </w:r>
      <w:r>
        <w:t xml:space="preserve"> token IDs are mapped to dense vectors via a lookup table of size </w:t>
      </w:r>
      <w:r>
        <w:rPr>
          <w:rStyle w:val="CodeChar"/>
        </w:rPr>
        <w:t xml:space="preserve">vocab_size × n_embd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Position embedding:</w:t>
      </w:r>
      <w:r>
        <w:t xml:space="preserve"> position IDs run from 0 to </w:t>
      </w:r>
      <w:r>
        <w:rPr>
          <w:rStyle w:val="CodeChar"/>
        </w:rPr>
        <w:t xml:space="preserve">block_size − 1</w:t>
      </w:r>
      <w:r>
        <w:t xml:space="preserve">, each mapped to its own vector via a table of size </w:t>
      </w:r>
      <w:r>
        <w:rPr>
          <w:rStyle w:val="CodeChar"/>
        </w:rPr>
        <w:t xml:space="preserve">block_size × n_embd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The two are </w:t>
      </w:r>
      <w:r>
        <w:rPr>
          <w:b/>
        </w:rPr>
        <w:t xml:space="preserve">added</w:t>
      </w:r>
      <w:r>
        <w:t xml:space="preserve">: </w:t>
      </w:r>
      <w:r>
        <w:rPr>
          <w:rStyle w:val="CodeChar"/>
        </w:rPr>
        <w:t xml:space="preserve">x = tok_emb + pos_emb</w:t>
      </w:r>
      <w:r>
        <w:t xml:space="preserve">, giving shape (B, T, C).</w:t>
      </w:r>
    </w:p>
    <w:p>
      <w:pPr/>
      <w:r>
        <w:t xml:space="preserve">Position embeddings matter because attention on its own has no sense of order.</w:t>
      </w:r>
    </w:p>
    <w:p>
      <w:pPr>
        <w:pStyle w:val="Heading3"/>
      </w:pPr>
      <w:r>
        <w:t xml:space="preserve">Step 4: The heart: self-attention (lines 64–90)</w:t>
      </w:r>
    </w:p>
    <w:p>
      <w:pPr/>
      <w:r>
        <w:t xml:space="preserve">Self-attention lets each token gather information from earlier tokens. Every token produces three vectors: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8"/>
        <w:gridCol w:w="7541"/>
      </w:tblGrid>
      <w:tr>
        <w:trPr>
          <w:tblHeader/>
        </w:trPr>
        <w:tc>
          <w:tcPr>
            <w:tcW w:w="1818" w:type="dxa"/>
            <w:shd w:val="clear" w:color="auto" w:fill="F2F2F2"/>
          </w:tcPr>
          <w:p>
            <w:pPr/>
            <w:r>
              <w:t xml:space="preserve">Vector</w:t>
            </w:r>
          </w:p>
        </w:tc>
        <w:tc>
          <w:tcPr>
            <w:tcW w:w="7541" w:type="dxa"/>
            <w:shd w:val="clear" w:color="auto" w:fill="F2F2F2"/>
          </w:tcPr>
          <w:p>
            <w:pPr/>
            <w:r>
              <w:t xml:space="preserve">Intuition</w:t>
            </w:r>
          </w:p>
        </w:tc>
      </w:tr>
      <w:tr>
        <w:tc>
          <w:tcPr>
            <w:tcW w:w="1818" w:type="dxa"/>
          </w:tcPr>
          <w:p>
            <w:pPr/>
            <w:r>
              <w:rPr>
                <w:b/>
              </w:rPr>
              <w:t xml:space="preserve">Query (q)</w:t>
            </w:r>
          </w:p>
        </w:tc>
        <w:tc>
          <w:tcPr>
            <w:tcW w:w="7541" w:type="dxa"/>
          </w:tcPr>
          <w:p>
            <w:pPr/>
            <w:r>
              <w:t xml:space="preserve">"Here is what I'm looking for"</w:t>
            </w:r>
          </w:p>
        </w:tc>
      </w:tr>
      <w:tr>
        <w:tc>
          <w:tcPr>
            <w:tcW w:w="1818" w:type="dxa"/>
          </w:tcPr>
          <w:p>
            <w:pPr/>
            <w:r>
              <w:rPr>
                <w:b/>
              </w:rPr>
              <w:t xml:space="preserve">Key (k)</w:t>
            </w:r>
          </w:p>
        </w:tc>
        <w:tc>
          <w:tcPr>
            <w:tcW w:w="7541" w:type="dxa"/>
          </w:tcPr>
          <w:p>
            <w:pPr/>
            <w:r>
              <w:t xml:space="preserve">"Here is what I offer"</w:t>
            </w:r>
          </w:p>
        </w:tc>
      </w:tr>
      <w:tr>
        <w:tc>
          <w:tcPr>
            <w:tcW w:w="1818" w:type="dxa"/>
          </w:tcPr>
          <w:p>
            <w:pPr/>
            <w:r>
              <w:rPr>
                <w:b/>
              </w:rPr>
              <w:t xml:space="preserve">Value (v)</w:t>
            </w:r>
          </w:p>
        </w:tc>
        <w:tc>
          <w:tcPr>
            <w:tcW w:w="7541" w:type="dxa"/>
          </w:tcPr>
          <w:p>
            <w:pPr/>
            <w:r>
              <w:t xml:space="preserve">"Here is the information I'll hand over if you attend to me"</w:t>
            </w:r>
          </w:p>
        </w:tc>
      </w:tr>
    </w:tbl>
    <w:p>
      <w:pPr/>
      <w:r>
        <w:t xml:space="preserve">It is all done with matrix multiplication:</w:t>
      </w:r>
    </w:p>
    <w:p>
      <w:pPr>
        <w:pStyle w:val="ListParagraph"/>
        <w:numPr>
          <w:ilvl w:val="0"/>
          <w:numId w:val="8"/>
        </w:numPr>
      </w:pPr>
      <w:r>
        <w:t xml:space="preserve">Compute affinities: </w:t>
      </w:r>
      <w:r>
        <w:rPr>
          <w:rStyle w:val="CodeChar"/>
        </w:rPr>
        <w:t xml:space="preserve">wei = q @ k.transpose(-2, -1)</w:t>
      </w:r>
      <w:r>
        <w:t xml:space="preserve"> → shape </w:t>
      </w:r>
      <w:r>
        <w:rPr>
          <w:b/>
        </w:rPr>
        <w:t xml:space="preserve">(T, T)</w:t>
      </w:r>
      <w:r>
        <w:t xml:space="preserve">, one score for every pair of positions.</w:t>
      </w:r>
    </w:p>
    <w:p>
      <w:pPr>
        <w:pStyle w:val="ListParagraph"/>
        <w:numPr>
          <w:ilvl w:val="0"/>
          <w:numId w:val="8"/>
        </w:numPr>
      </w:pPr>
      <w:r>
        <w:t xml:space="preserve">Scale by 1/√head_size so the scores don't get too large.</w:t>
      </w:r>
    </w:p>
    <w:p>
      <w:pPr>
        <w:pStyle w:val="ListParagraph"/>
        <w:numPr>
          <w:ilvl w:val="0"/>
          <w:numId w:val="8"/>
        </w:numPr>
      </w:pPr>
      <w:r>
        <w:t xml:space="preserve">Mask the future: a lower-triangular mask (</w:t>
      </w:r>
      <w:r>
        <w:rPr>
          <w:rStyle w:val="CodeChar"/>
        </w:rPr>
        <w:t xml:space="preserve">tril</w:t>
      </w:r>
      <w:r>
        <w:t xml:space="preserve">) sets scores for later positions to −∞, so a token can only see the past.</w:t>
      </w:r>
    </w:p>
    <w:p>
      <w:pPr>
        <w:pStyle w:val="ListParagraph"/>
        <w:numPr>
          <w:ilvl w:val="0"/>
          <w:numId w:val="8"/>
        </w:numPr>
      </w:pPr>
      <w:r>
        <w:t xml:space="preserve">Softmax each row so the weights sum to 1.</w:t>
      </w:r>
    </w:p>
    <w:p>
      <w:pPr>
        <w:pStyle w:val="ListParagraph"/>
        <w:numPr>
          <w:ilvl w:val="0"/>
          <w:numId w:val="8"/>
        </w:numPr>
      </w:pPr>
      <w:r>
        <w:t xml:space="preserve">Aggregate: </w:t>
      </w:r>
      <w:r>
        <w:rPr>
          <w:rStyle w:val="CodeChar"/>
        </w:rPr>
        <w:t xml:space="preserve">out = wei @ v</w:t>
      </w:r>
      <w:r>
        <w:t xml:space="preserve"> → each token gets a weighted mix of the values it attended to.</w:t>
      </w:r>
    </w:p>
    <w:p>
      <w:pPr>
        <w:pStyle w:val="Code"/>
      </w:pPr>
      <w:bookmarkStart w:id="2" w:name="bongo_lang_latex_2"/>
      <w:bookmarkEnd w:id="2"/>
      <w:r>
        <w:t xml:space="preserve">\text{Attention}(Q,K,V) = \text{softmax}\left(\frac{QK^T}{\sqrt{d_k}}\right)V</w:t>
      </w:r>
    </w:p>
    <w:p>
      <w:pPr/>
      <w:r>
        <w:rPr>
          <w:b/>
        </w:rPr>
        <w:t xml:space="preserve">Multi-head attention</w:t>
      </w:r>
      <w:r>
        <w:t xml:space="preserve"> runs several heads in parallel, concatenates their outputs, and projects back to n_embd. Each head can learn a different kind of relationship.</w:t>
      </w:r>
    </w:p>
    <w:p>
      <w:pPr>
        <w:pStyle w:val="Heading3"/>
      </w:pPr>
      <w:r>
        <w:t xml:space="preserve">Step 5: Feed-forward network</w:t>
      </w:r>
    </w:p>
    <w:p>
      <w:pPr/>
      <w:r>
        <w:t xml:space="preserve">After attention lets tokens communicate, the feed-forward network lets each token "think" on its own.</w:t>
      </w:r>
    </w:p>
    <w:p>
      <w:pPr/>
      <w:r>
        <w:rPr>
          <w:b/>
        </w:rPr>
        <w:t xml:space="preserve">Linear → GELU (or ReLU) → Linear → Dropout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First linear layer:</w:t>
      </w:r>
      <w:r>
        <w:t xml:space="preserve"> expands from n_embd to 4 × n_embd (the expanded hidden dimension).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Activation function:</w:t>
      </w:r>
      <w:r>
        <w:t xml:space="preserve"> GELU (or ReLU) adds non-linearity.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Second linear layer:</w:t>
      </w:r>
      <w:r>
        <w:t xml:space="preserve"> projects back down to n_embd.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Dropout:</w:t>
      </w:r>
      <w:r>
        <w:t xml:space="preserve"> regularization, randomly zeroing some values during training to reduce overfitting.</w:t>
      </w:r>
    </w:p>
    <w:p>
      <w:pPr>
        <w:pStyle w:val="Heading3"/>
      </w:pPr>
      <w:r>
        <w:t xml:space="preserve">Step 6: The transformer block (pre-norm residual)</w:t>
      </w:r>
    </w:p>
    <w:p>
      <w:pPr/>
      <w:r>
        <w:t xml:space="preserve">Each block has two sublayers, each wrapped in a residual connection with LayerNorm applied </w:t>
      </w:r>
      <w:r>
        <w:rPr>
          <w:i/>
        </w:rPr>
        <w:t xml:space="preserve">before</w:t>
      </w:r>
      <w:r>
        <w:t xml:space="preserve"> it ("pre-norm"):</w:t>
      </w:r>
    </w:p>
    <w:p>
      <w:pPr>
        <w:pStyle w:val="Code"/>
      </w:pPr>
      <w:bookmarkStart w:id="3" w:name="bongo_lang_latex_3"/>
      <w:bookmarkEnd w:id="3"/>
      <w:r>
        <w:t xml:space="preserve">x_{mid} = x + \text{MultiHeadAttn}(\text{LN}_1(x))</w:t>
      </w:r>
    </w:p>
    <w:p/>
    <w:p>
      <w:pPr>
        <w:pStyle w:val="Code"/>
      </w:pPr>
      <w:bookmarkStart w:id="4" w:name="bongo_lang_latex_4"/>
      <w:bookmarkEnd w:id="4"/>
      <w:r>
        <w:t xml:space="preserve">x_{out} = x_{mid} + \text{FFWD}(\text{LN}_2(x_{mid}))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First sublayer:</w:t>
      </w:r>
      <w:r>
        <w:t xml:space="preserve"> multi-head attention (tokens communicate).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Second sublayer:</w:t>
      </w:r>
      <w:r>
        <w:t xml:space="preserve"> feed-forward network (tokens compute).</w:t>
      </w:r>
    </w:p>
    <w:p>
      <w:pPr>
        <w:pStyle w:val="ListParagraph"/>
        <w:numPr>
          <w:ilvl w:val="0"/>
          <w:numId w:val="10"/>
        </w:numPr>
      </w:pPr>
      <w:r>
        <w:t xml:space="preserve">The </w:t>
      </w:r>
      <w:r>
        <w:rPr>
          <w:rStyle w:val="CodeChar"/>
        </w:rPr>
        <w:t xml:space="preserve">x + …</w:t>
      </w:r>
      <w:r>
        <w:t xml:space="preserve"> residual paths let gradients flow easily through deep stacks of blocks.</w:t>
      </w:r>
    </w:p>
    <w:p>
      <w:pPr>
        <w:pStyle w:val="Heading3"/>
      </w:pPr>
      <w:r>
        <w:t xml:space="preserve">The full model, end to end</w:t>
      </w:r>
    </w:p>
    <w:p>
      <w:pPr>
        <w:pStyle w:val="ListParagraph"/>
        <w:numPr>
          <w:ilvl w:val="0"/>
          <w:numId w:val="11"/>
        </w:numPr>
      </w:pPr>
      <w:r>
        <w:t xml:space="preserve">Token IDs → token embedding + position embedding</w:t>
      </w:r>
    </w:p>
    <w:p>
      <w:pPr>
        <w:pStyle w:val="ListParagraph"/>
        <w:numPr>
          <w:ilvl w:val="0"/>
          <w:numId w:val="11"/>
        </w:numPr>
      </w:pPr>
      <w:r>
        <w:t xml:space="preserve">N transformer blocks stacked</w:t>
      </w:r>
    </w:p>
    <w:p>
      <w:pPr>
        <w:pStyle w:val="ListParagraph"/>
        <w:numPr>
          <w:ilvl w:val="0"/>
          <w:numId w:val="11"/>
        </w:numPr>
      </w:pPr>
      <w:r>
        <w:t xml:space="preserve">Final LayerNorm</w:t>
      </w:r>
    </w:p>
    <w:p>
      <w:pPr>
        <w:pStyle w:val="ListParagraph"/>
        <w:numPr>
          <w:ilvl w:val="0"/>
          <w:numId w:val="11"/>
        </w:numPr>
      </w:pPr>
      <w:r>
        <w:t xml:space="preserve">Linear layer (lm_head) → logits of size vocab_size</w:t>
      </w:r>
    </w:p>
    <w:p>
      <w:pPr>
        <w:pStyle w:val="ListParagraph"/>
        <w:numPr>
          <w:ilvl w:val="0"/>
          <w:numId w:val="11"/>
        </w:numPr>
      </w:pPr>
      <w:r>
        <w:t xml:space="preserve">Softmax → probability of each possible next token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GPT from Scratch &amp; Tokenization Study Notes</dc:title>
  <dc:description>Claude Docs node/9a3e22e9-bca5@25 docx-w7</dc:description>
  <cp:revision>25</cp:revision>
</cp:coreProperties>
</file>