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A7E" w:rsidRPr="005949E3" w:rsidRDefault="00DC2A7E" w:rsidP="00DC2A7E">
      <w:pPr>
        <w:spacing w:after="0" w:line="360" w:lineRule="auto"/>
        <w:jc w:val="center"/>
        <w:rPr>
          <w:rFonts w:eastAsia="Times New Roman" w:cs="Times New Roman"/>
          <w:b/>
          <w:sz w:val="28"/>
          <w:szCs w:val="24"/>
        </w:rPr>
      </w:pPr>
      <w:r w:rsidRPr="005949E3">
        <w:rPr>
          <w:rFonts w:eastAsia="Times New Roman" w:cs="Times New Roman"/>
          <w:b/>
          <w:sz w:val="28"/>
          <w:szCs w:val="24"/>
        </w:rPr>
        <w:t>Predicting Student Academic Performance with Machine Learning</w:t>
      </w:r>
    </w:p>
    <w:p w:rsidR="00C74FB6" w:rsidRPr="00C74FB6" w:rsidRDefault="00DC2A7E" w:rsidP="00DC2A7E">
      <w:pPr>
        <w:spacing w:after="0" w:line="360" w:lineRule="auto"/>
        <w:rPr>
          <w:rFonts w:eastAsia="Times New Roman" w:cs="Times New Roman"/>
          <w:b/>
          <w:szCs w:val="24"/>
        </w:rPr>
      </w:pPr>
      <w:r>
        <w:rPr>
          <w:rFonts w:eastAsia="Times New Roman" w:cs="Times New Roman"/>
          <w:szCs w:val="24"/>
        </w:rPr>
        <w:t>E</w:t>
      </w:r>
      <w:r w:rsidR="00C74FB6" w:rsidRPr="00C74FB6">
        <w:rPr>
          <w:rFonts w:eastAsia="Times New Roman" w:cs="Times New Roman"/>
          <w:szCs w:val="24"/>
        </w:rPr>
        <w:t>ducation is a major force behind sustainable development. In order to "ensure inclusive and equitable quality education and promote lifelong learning opportunities for all," the United Nations Sustainable Development Goal 4 (SDG 4) was established. Many students still lag behind despite advancements because of personal, social, or academic difficulties. However, these problems are frequently overlooked until it is too la</w:t>
      </w:r>
      <w:r>
        <w:rPr>
          <w:rFonts w:eastAsia="Times New Roman" w:cs="Times New Roman"/>
          <w:szCs w:val="24"/>
        </w:rPr>
        <w:t>te to offer helpful assistance.</w:t>
      </w:r>
      <w:r w:rsidR="00C74FB6" w:rsidRPr="00C74FB6">
        <w:rPr>
          <w:rFonts w:eastAsia="Times New Roman" w:cs="Times New Roman"/>
          <w:szCs w:val="24"/>
        </w:rPr>
        <w:br/>
        <w:t>By employing machine learning to detect students who are at danger of academic failure early enough for effective assistance, our approach offers a proactive option. We want to equip students with the means to deliver timely, individualized support by leveraging the power of data.</w:t>
      </w:r>
    </w:p>
    <w:p w:rsidR="005941B3" w:rsidRDefault="005941B3" w:rsidP="00DC2A7E">
      <w:pPr>
        <w:spacing w:line="360" w:lineRule="auto"/>
      </w:pPr>
    </w:p>
    <w:p w:rsidR="00C74FB6" w:rsidRDefault="00DC2A7E" w:rsidP="00DC2A7E">
      <w:pPr>
        <w:spacing w:after="0" w:line="360" w:lineRule="auto"/>
        <w:rPr>
          <w:rFonts w:eastAsia="Times New Roman" w:cs="Times New Roman"/>
          <w:szCs w:val="24"/>
        </w:rPr>
      </w:pPr>
      <w:r w:rsidRPr="005949E3">
        <w:rPr>
          <w:rFonts w:eastAsia="Times New Roman" w:cs="Times New Roman"/>
          <w:b/>
          <w:sz w:val="28"/>
          <w:szCs w:val="24"/>
        </w:rPr>
        <w:t>Problem Statement</w:t>
      </w:r>
      <w:r>
        <w:rPr>
          <w:rFonts w:eastAsia="Times New Roman" w:cs="Times New Roman"/>
          <w:szCs w:val="24"/>
        </w:rPr>
        <w:br/>
        <w:t>T</w:t>
      </w:r>
      <w:r w:rsidR="00C23EA4" w:rsidRPr="00C74FB6">
        <w:rPr>
          <w:rFonts w:eastAsia="Times New Roman" w:cs="Times New Roman"/>
          <w:szCs w:val="24"/>
        </w:rPr>
        <w:t>raditional educational institutions</w:t>
      </w:r>
      <w:r w:rsidR="00C23EA4" w:rsidRPr="00C74FB6">
        <w:rPr>
          <w:rFonts w:eastAsia="Times New Roman" w:cs="Times New Roman"/>
          <w:szCs w:val="24"/>
        </w:rPr>
        <w:t xml:space="preserve"> </w:t>
      </w:r>
      <w:r w:rsidR="00C23EA4">
        <w:rPr>
          <w:rFonts w:eastAsia="Times New Roman" w:cs="Times New Roman"/>
          <w:szCs w:val="24"/>
        </w:rPr>
        <w:t>use r</w:t>
      </w:r>
      <w:r w:rsidR="00C74FB6" w:rsidRPr="00C74FB6">
        <w:rPr>
          <w:rFonts w:eastAsia="Times New Roman" w:cs="Times New Roman"/>
          <w:szCs w:val="24"/>
        </w:rPr>
        <w:t>eactive approaches, which monitor</w:t>
      </w:r>
      <w:r w:rsidR="00C23EA4">
        <w:rPr>
          <w:rFonts w:eastAsia="Times New Roman" w:cs="Times New Roman"/>
          <w:szCs w:val="24"/>
        </w:rPr>
        <w:t>s</w:t>
      </w:r>
      <w:r w:rsidR="00C74FB6" w:rsidRPr="00C74FB6">
        <w:rPr>
          <w:rFonts w:eastAsia="Times New Roman" w:cs="Times New Roman"/>
          <w:szCs w:val="24"/>
        </w:rPr>
        <w:t xml:space="preserve"> students only after they have fallen short of performance </w:t>
      </w:r>
      <w:r w:rsidR="00C23EA4">
        <w:rPr>
          <w:rFonts w:eastAsia="Times New Roman" w:cs="Times New Roman"/>
          <w:szCs w:val="24"/>
        </w:rPr>
        <w:t>criteria</w:t>
      </w:r>
      <w:r w:rsidR="00C74FB6" w:rsidRPr="00C74FB6">
        <w:rPr>
          <w:rFonts w:eastAsia="Times New Roman" w:cs="Times New Roman"/>
          <w:szCs w:val="24"/>
        </w:rPr>
        <w:t>. Reduced motivation, increased dropout rates, and greater disparities in learning outcomes can all be consequences of this de</w:t>
      </w:r>
      <w:r>
        <w:rPr>
          <w:rFonts w:eastAsia="Times New Roman" w:cs="Times New Roman"/>
          <w:szCs w:val="24"/>
        </w:rPr>
        <w:t xml:space="preserve">lay. Major challenges include: </w:t>
      </w:r>
      <w:r w:rsidR="00C74FB6" w:rsidRPr="00C74FB6">
        <w:rPr>
          <w:rFonts w:eastAsia="Times New Roman" w:cs="Times New Roman"/>
          <w:szCs w:val="24"/>
        </w:rPr>
        <w:t>Absence o</w:t>
      </w:r>
      <w:r>
        <w:rPr>
          <w:rFonts w:eastAsia="Times New Roman" w:cs="Times New Roman"/>
          <w:szCs w:val="24"/>
        </w:rPr>
        <w:t>f tailored academic assistance, g</w:t>
      </w:r>
      <w:r w:rsidR="00C74FB6" w:rsidRPr="00C74FB6">
        <w:rPr>
          <w:rFonts w:eastAsia="Times New Roman" w:cs="Times New Roman"/>
          <w:szCs w:val="24"/>
        </w:rPr>
        <w:t>rowing disparities in student achievement</w:t>
      </w:r>
    </w:p>
    <w:p w:rsidR="00C23EA4" w:rsidRDefault="00C23EA4" w:rsidP="00DC2A7E">
      <w:pPr>
        <w:spacing w:after="0" w:line="360" w:lineRule="auto"/>
        <w:rPr>
          <w:rFonts w:eastAsia="Times New Roman" w:cs="Times New Roman"/>
          <w:szCs w:val="24"/>
        </w:rPr>
      </w:pPr>
    </w:p>
    <w:p w:rsidR="00B02B07" w:rsidRPr="005A7206" w:rsidRDefault="005A7206" w:rsidP="005A7206">
      <w:pPr>
        <w:spacing w:after="0" w:line="360" w:lineRule="auto"/>
        <w:rPr>
          <w:rFonts w:eastAsia="Times New Roman" w:cs="Times New Roman"/>
          <w:b/>
          <w:sz w:val="28"/>
          <w:szCs w:val="24"/>
        </w:rPr>
      </w:pPr>
      <w:r>
        <w:rPr>
          <w:rFonts w:eastAsia="Times New Roman" w:cs="Times New Roman"/>
          <w:b/>
          <w:sz w:val="28"/>
          <w:szCs w:val="24"/>
        </w:rPr>
        <w:t>The Solution</w:t>
      </w:r>
    </w:p>
    <w:p w:rsidR="00B02B07" w:rsidRDefault="00B02B07" w:rsidP="00B02B07">
      <w:pPr>
        <w:spacing w:line="360" w:lineRule="auto"/>
      </w:pPr>
      <w:r>
        <w:t>The results showed a clear relationship: students who have stronger reading skills tend to do better in math as well. While the predictions weren’t perfect, the model was able to estimate math scores with a good degree of accuracy bas</w:t>
      </w:r>
      <w:r w:rsidR="005A7206">
        <w:t>ed only on reading performance.</w:t>
      </w:r>
    </w:p>
    <w:p w:rsidR="005A7206" w:rsidRPr="005A7206" w:rsidRDefault="005A7206" w:rsidP="00B02B07">
      <w:pPr>
        <w:spacing w:line="360" w:lineRule="auto"/>
        <w:rPr>
          <w:b/>
          <w:sz w:val="28"/>
        </w:rPr>
      </w:pPr>
      <w:r w:rsidRPr="005A7206">
        <w:rPr>
          <w:b/>
          <w:sz w:val="28"/>
        </w:rPr>
        <w:t>Impact and Alignment with SDG 4</w:t>
      </w:r>
    </w:p>
    <w:p w:rsidR="00B02B07" w:rsidRDefault="00B02B07" w:rsidP="00B02B07">
      <w:pPr>
        <w:spacing w:line="360" w:lineRule="auto"/>
      </w:pPr>
      <w:r>
        <w:t>Improving reading ability alone could lead to better m</w:t>
      </w:r>
      <w:r>
        <w:t>ath o</w:t>
      </w:r>
      <w:bookmarkStart w:id="0" w:name="_GoBack"/>
      <w:bookmarkEnd w:id="0"/>
      <w:r>
        <w:t>utcomes for many students.</w:t>
      </w:r>
    </w:p>
    <w:p w:rsidR="00B02B07" w:rsidRDefault="00B02B07" w:rsidP="00B02B07">
      <w:pPr>
        <w:spacing w:line="360" w:lineRule="auto"/>
      </w:pPr>
      <w:r>
        <w:t>Targeting both reading and math support togethe</w:t>
      </w:r>
      <w:r>
        <w:t>r could be even more effective.</w:t>
      </w:r>
    </w:p>
    <w:p w:rsidR="00B02B07" w:rsidRDefault="00B02B07" w:rsidP="00B02B07">
      <w:pPr>
        <w:spacing w:line="360" w:lineRule="auto"/>
      </w:pPr>
      <w:r>
        <w:t>This insight is important because it suggests that improving basic literacy can also lif</w:t>
      </w:r>
      <w:r>
        <w:t>t numeracy skills. That means:</w:t>
      </w:r>
    </w:p>
    <w:p w:rsidR="00B02B07" w:rsidRDefault="00B02B07" w:rsidP="00B02B07">
      <w:pPr>
        <w:spacing w:line="360" w:lineRule="auto"/>
      </w:pPr>
      <w:r>
        <w:t xml:space="preserve">Schools can help students perform better in math by </w:t>
      </w:r>
      <w:r>
        <w:t>strengthening reading programs.</w:t>
      </w:r>
    </w:p>
    <w:p w:rsidR="00B02B07" w:rsidRDefault="00B02B07" w:rsidP="00B02B07">
      <w:pPr>
        <w:spacing w:line="360" w:lineRule="auto"/>
      </w:pPr>
      <w:r>
        <w:lastRenderedPageBreak/>
        <w:t>Educators and policymakers can design combined literacy and numeracy interventions to boost lear</w:t>
      </w:r>
      <w:r>
        <w:t>ning outcomes more efficiently.</w:t>
      </w:r>
    </w:p>
    <w:p w:rsidR="00B02B07" w:rsidRDefault="00B02B07" w:rsidP="00B02B07">
      <w:pPr>
        <w:spacing w:line="360" w:lineRule="auto"/>
      </w:pPr>
      <w:r>
        <w:t>Supporting reading early on may help close learni</w:t>
      </w:r>
      <w:r>
        <w:t>ng gaps before they grow wider.</w:t>
      </w:r>
    </w:p>
    <w:p w:rsidR="00B02B07" w:rsidRPr="00C74FB6" w:rsidRDefault="00B02B07" w:rsidP="00B02B07">
      <w:pPr>
        <w:spacing w:line="360" w:lineRule="auto"/>
      </w:pPr>
      <w:r>
        <w:t>In short, improving reading skills doesn't just help students understand books—it can also improve how they think, solve problems, and succeed across subjects. This contributes directly to the goal of inclusive, equitable, and quality education for all.</w:t>
      </w:r>
    </w:p>
    <w:sectPr w:rsidR="00B02B07" w:rsidRPr="00C74F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FB6"/>
    <w:rsid w:val="001944FB"/>
    <w:rsid w:val="002547A8"/>
    <w:rsid w:val="005941B3"/>
    <w:rsid w:val="005949E3"/>
    <w:rsid w:val="005A7206"/>
    <w:rsid w:val="00B02B07"/>
    <w:rsid w:val="00C23EA4"/>
    <w:rsid w:val="00C74FB6"/>
    <w:rsid w:val="00DC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9503"/>
  <w15:chartTrackingRefBased/>
  <w15:docId w15:val="{D41E031A-C06D-4369-B721-5B1EE5D5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7A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00296">
      <w:bodyDiv w:val="1"/>
      <w:marLeft w:val="0"/>
      <w:marRight w:val="0"/>
      <w:marTop w:val="0"/>
      <w:marBottom w:val="0"/>
      <w:divBdr>
        <w:top w:val="none" w:sz="0" w:space="0" w:color="auto"/>
        <w:left w:val="none" w:sz="0" w:space="0" w:color="auto"/>
        <w:bottom w:val="none" w:sz="0" w:space="0" w:color="auto"/>
        <w:right w:val="none" w:sz="0" w:space="0" w:color="auto"/>
      </w:divBdr>
    </w:div>
    <w:div w:id="1961183247">
      <w:bodyDiv w:val="1"/>
      <w:marLeft w:val="0"/>
      <w:marRight w:val="0"/>
      <w:marTop w:val="0"/>
      <w:marBottom w:val="0"/>
      <w:divBdr>
        <w:top w:val="none" w:sz="0" w:space="0" w:color="auto"/>
        <w:left w:val="none" w:sz="0" w:space="0" w:color="auto"/>
        <w:bottom w:val="none" w:sz="0" w:space="0" w:color="auto"/>
        <w:right w:val="none" w:sz="0" w:space="0" w:color="auto"/>
      </w:divBdr>
    </w:div>
    <w:div w:id="1962422421">
      <w:bodyDiv w:val="1"/>
      <w:marLeft w:val="0"/>
      <w:marRight w:val="0"/>
      <w:marTop w:val="0"/>
      <w:marBottom w:val="0"/>
      <w:divBdr>
        <w:top w:val="none" w:sz="0" w:space="0" w:color="auto"/>
        <w:left w:val="none" w:sz="0" w:space="0" w:color="auto"/>
        <w:bottom w:val="none" w:sz="0" w:space="0" w:color="auto"/>
        <w:right w:val="none" w:sz="0" w:space="0" w:color="auto"/>
      </w:divBdr>
    </w:div>
    <w:div w:id="211886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Daphine-Tech girl</dc:creator>
  <cp:keywords/>
  <dc:description/>
  <cp:lastModifiedBy>Daphine-Tech girl</cp:lastModifiedBy>
  <cp:revision>4</cp:revision>
  <dcterms:created xsi:type="dcterms:W3CDTF">2025-06-12T17:53:00Z</dcterms:created>
  <dcterms:modified xsi:type="dcterms:W3CDTF">2025-06-12T20:27:00Z</dcterms:modified>
</cp:coreProperties>
</file>